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706" w:rsidRDefault="00DB1706" w:rsidP="007361D1">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ZAMAWIAJĄCY:</w:t>
      </w:r>
    </w:p>
    <w:p w:rsidR="00DB1706" w:rsidRPr="00CA3F75" w:rsidRDefault="00DB1706" w:rsidP="007361D1">
      <w:pPr>
        <w:autoSpaceDE w:val="0"/>
        <w:autoSpaceDN w:val="0"/>
        <w:adjustRightInd w:val="0"/>
        <w:spacing w:after="0" w:line="360" w:lineRule="auto"/>
        <w:jc w:val="center"/>
        <w:rPr>
          <w:rFonts w:ascii="Times New Roman" w:hAnsi="Times New Roman"/>
          <w:color w:val="000000"/>
          <w:sz w:val="24"/>
          <w:szCs w:val="24"/>
        </w:rPr>
      </w:pPr>
      <w:r w:rsidRPr="00CA3F75">
        <w:rPr>
          <w:rFonts w:ascii="Times New Roman" w:hAnsi="Times New Roman"/>
          <w:color w:val="000000"/>
          <w:sz w:val="24"/>
          <w:szCs w:val="24"/>
        </w:rPr>
        <w:t xml:space="preserve">XVII Liceum Ogólnokształcące w Gdyni </w:t>
      </w:r>
    </w:p>
    <w:p w:rsidR="00DB1706" w:rsidRPr="00CA3F75" w:rsidRDefault="00DB1706" w:rsidP="007361D1">
      <w:pPr>
        <w:autoSpaceDE w:val="0"/>
        <w:autoSpaceDN w:val="0"/>
        <w:adjustRightInd w:val="0"/>
        <w:spacing w:after="0" w:line="360" w:lineRule="auto"/>
        <w:jc w:val="center"/>
        <w:rPr>
          <w:rFonts w:ascii="Times-Roman" w:hAnsi="Times-Roman" w:cs="Times-Roman"/>
        </w:rPr>
      </w:pPr>
      <w:r w:rsidRPr="00CA3F75">
        <w:rPr>
          <w:rFonts w:ascii="Times New Roman" w:hAnsi="Times New Roman"/>
          <w:color w:val="000000"/>
          <w:sz w:val="24"/>
          <w:szCs w:val="24"/>
        </w:rPr>
        <w:t>81-364 Gdynia, ul. 10 Lutego 26</w:t>
      </w:r>
    </w:p>
    <w:p w:rsidR="00DB1706" w:rsidRDefault="00DB1706" w:rsidP="007361D1">
      <w:pPr>
        <w:autoSpaceDE w:val="0"/>
        <w:autoSpaceDN w:val="0"/>
        <w:adjustRightInd w:val="0"/>
        <w:spacing w:after="0" w:line="360" w:lineRule="auto"/>
        <w:rPr>
          <w:rFonts w:ascii="Times New Roman" w:hAnsi="Times New Roman"/>
        </w:rPr>
      </w:pPr>
    </w:p>
    <w:p w:rsidR="00DB1706" w:rsidRPr="00CA3F75" w:rsidRDefault="00DB1706" w:rsidP="007361D1">
      <w:pPr>
        <w:autoSpaceDE w:val="0"/>
        <w:autoSpaceDN w:val="0"/>
        <w:adjustRightInd w:val="0"/>
        <w:spacing w:after="0" w:line="360" w:lineRule="auto"/>
        <w:jc w:val="both"/>
        <w:rPr>
          <w:rFonts w:ascii="Times New Roman" w:hAnsi="Times New Roman"/>
          <w:sz w:val="24"/>
          <w:szCs w:val="24"/>
        </w:rPr>
      </w:pPr>
      <w:r w:rsidRPr="00CA3F75">
        <w:rPr>
          <w:rFonts w:ascii="Times New Roman" w:hAnsi="Times New Roman"/>
        </w:rPr>
        <w:t>Przetarg nieograniczony</w:t>
      </w:r>
      <w:r>
        <w:rPr>
          <w:rFonts w:ascii="Times New Roman" w:hAnsi="Times New Roman"/>
        </w:rPr>
        <w:t xml:space="preserve"> na: </w:t>
      </w:r>
      <w:r w:rsidRPr="00CA3F75">
        <w:rPr>
          <w:rFonts w:ascii="Times New Roman" w:hAnsi="Times New Roman"/>
          <w:b/>
          <w:bCs/>
          <w:color w:val="000000"/>
          <w:sz w:val="24"/>
          <w:szCs w:val="24"/>
        </w:rPr>
        <w:t xml:space="preserve">Dostawę mebli wraz z montażem dla Zespołu Szkół Ogólnokształcących nr 8 w Gdyni przy ulicy </w:t>
      </w:r>
      <w:proofErr w:type="spellStart"/>
      <w:r w:rsidRPr="00CA3F75">
        <w:rPr>
          <w:rFonts w:ascii="Times New Roman" w:hAnsi="Times New Roman"/>
          <w:b/>
          <w:bCs/>
          <w:color w:val="000000"/>
          <w:sz w:val="24"/>
          <w:szCs w:val="24"/>
        </w:rPr>
        <w:t>Wiczlińskiej</w:t>
      </w:r>
      <w:proofErr w:type="spellEnd"/>
      <w:r w:rsidRPr="00CA3F75">
        <w:rPr>
          <w:rFonts w:ascii="Times New Roman" w:hAnsi="Times New Roman"/>
          <w:b/>
          <w:bCs/>
          <w:color w:val="000000"/>
          <w:sz w:val="24"/>
          <w:szCs w:val="24"/>
        </w:rPr>
        <w:t xml:space="preserve"> 50A</w:t>
      </w:r>
    </w:p>
    <w:p w:rsidR="00DB1706" w:rsidRPr="00CA3F75" w:rsidRDefault="00DB1706" w:rsidP="007361D1">
      <w:pPr>
        <w:autoSpaceDE w:val="0"/>
        <w:autoSpaceDN w:val="0"/>
        <w:adjustRightInd w:val="0"/>
        <w:spacing w:after="0" w:line="360" w:lineRule="auto"/>
        <w:jc w:val="both"/>
        <w:rPr>
          <w:rFonts w:ascii="Times New Roman" w:hAnsi="Times New Roman"/>
        </w:rPr>
      </w:pPr>
      <w:r w:rsidRPr="00CA3F75">
        <w:rPr>
          <w:rFonts w:ascii="Times New Roman" w:hAnsi="Times New Roman"/>
        </w:rPr>
        <w:t>wartość zamówienia jest niższa od kwoty określonej w przepisach wydanych na podstawie art. 11 ust. 8</w:t>
      </w:r>
      <w:r>
        <w:rPr>
          <w:rFonts w:ascii="Times New Roman" w:hAnsi="Times New Roman"/>
        </w:rPr>
        <w:t xml:space="preserve"> </w:t>
      </w:r>
      <w:r w:rsidRPr="00CA3F75">
        <w:rPr>
          <w:rFonts w:ascii="Times New Roman" w:hAnsi="Times New Roman"/>
        </w:rPr>
        <w:t>ustawy z dnia 29 stycznia 2004 r. Prawo zamówień publicznych</w:t>
      </w:r>
      <w:r w:rsidRPr="00CA3F75">
        <w:rPr>
          <w:rFonts w:ascii="Times New Roman" w:hAnsi="Times New Roman"/>
          <w:color w:val="000000"/>
        </w:rPr>
        <w:t xml:space="preserve"> (tekst jednolity - Dz. U. z 2018 r. poz</w:t>
      </w:r>
      <w:r>
        <w:rPr>
          <w:rFonts w:ascii="Times New Roman" w:hAnsi="Times New Roman"/>
          <w:color w:val="000000"/>
        </w:rPr>
        <w:t>.</w:t>
      </w:r>
      <w:r w:rsidRPr="00CA3F75">
        <w:rPr>
          <w:rFonts w:ascii="Times New Roman" w:hAnsi="Times New Roman"/>
          <w:color w:val="000000"/>
        </w:rPr>
        <w:t xml:space="preserve"> 1986 z </w:t>
      </w:r>
      <w:proofErr w:type="spellStart"/>
      <w:r w:rsidRPr="00CA3F75">
        <w:rPr>
          <w:rFonts w:ascii="Times New Roman" w:hAnsi="Times New Roman"/>
          <w:color w:val="000000"/>
        </w:rPr>
        <w:t>późn</w:t>
      </w:r>
      <w:proofErr w:type="spellEnd"/>
      <w:r>
        <w:rPr>
          <w:rFonts w:ascii="Times New Roman" w:hAnsi="Times New Roman"/>
          <w:color w:val="000000"/>
        </w:rPr>
        <w:t>.</w:t>
      </w:r>
      <w:r w:rsidRPr="00CA3F75">
        <w:rPr>
          <w:rFonts w:ascii="Times New Roman" w:hAnsi="Times New Roman"/>
          <w:color w:val="000000"/>
        </w:rPr>
        <w:t xml:space="preserve"> zm.)</w:t>
      </w:r>
    </w:p>
    <w:p w:rsidR="00DB1706" w:rsidRPr="00CA3F75" w:rsidRDefault="00DB1706" w:rsidP="007361D1">
      <w:pPr>
        <w:pStyle w:val="NormalnyWeb"/>
        <w:spacing w:line="360" w:lineRule="auto"/>
        <w:jc w:val="both"/>
      </w:pPr>
      <w:r w:rsidRPr="00CA3F75">
        <w:t>Działając na mocy art. 38 ust. 1 i ust 2 ustawy z dnia 29 stycznia 2004r. Prawo zamówień publicznych</w:t>
      </w:r>
      <w:r>
        <w:t xml:space="preserve"> (t</w:t>
      </w:r>
      <w:r w:rsidRPr="00CA3F75">
        <w:t>ekst jednolity</w:t>
      </w:r>
      <w:r>
        <w:t xml:space="preserve"> Dz.U.2018r. poz. 1986 z </w:t>
      </w:r>
      <w:proofErr w:type="spellStart"/>
      <w:r>
        <w:t>pózn</w:t>
      </w:r>
      <w:proofErr w:type="spellEnd"/>
      <w:r>
        <w:t>. zm.) przekazuję treść wniosku, jaki wpłynął w związku z powyższym postępowaniem wraz z następującym wyjaśnieniem:</w:t>
      </w:r>
    </w:p>
    <w:p w:rsidR="00DB1706" w:rsidRDefault="00DB1706" w:rsidP="007361D1">
      <w:pPr>
        <w:pStyle w:val="NormalnyWeb"/>
        <w:jc w:val="both"/>
        <w:rPr>
          <w:b/>
          <w:u w:val="single"/>
        </w:rPr>
      </w:pPr>
      <w:r>
        <w:rPr>
          <w:b/>
          <w:u w:val="single"/>
        </w:rPr>
        <w:t>Wniosek o wyjaśnienie treści Specyfikacji Istotnych Warunków Zamówienia</w:t>
      </w:r>
    </w:p>
    <w:p w:rsidR="00DB1706" w:rsidRDefault="00DE22F0" w:rsidP="007361D1">
      <w:pPr>
        <w:jc w:val="both"/>
      </w:pPr>
      <w:r>
        <w:rPr>
          <w:noProof/>
          <w:lang w:eastAsia="pl-PL"/>
        </w:rPr>
        <w:lastRenderedPageBreak/>
        <w:drawing>
          <wp:inline distT="0" distB="0" distL="0" distR="0">
            <wp:extent cx="5759450" cy="7331755"/>
            <wp:effectExtent l="0" t="0" r="0" b="2540"/>
            <wp:docPr id="1" name="Obraz 1" descr="C:\Users\Halina\Desktop\wniosek 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na\Desktop\wniosek st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333372"/>
                    </a:xfrm>
                    <a:prstGeom prst="rect">
                      <a:avLst/>
                    </a:prstGeom>
                    <a:noFill/>
                    <a:ln>
                      <a:noFill/>
                    </a:ln>
                  </pic:spPr>
                </pic:pic>
              </a:graphicData>
            </a:graphic>
          </wp:inline>
        </w:drawing>
      </w:r>
    </w:p>
    <w:p w:rsidR="00DB1706" w:rsidRDefault="00DB1706" w:rsidP="007361D1">
      <w:pPr>
        <w:jc w:val="both"/>
      </w:pPr>
    </w:p>
    <w:p w:rsidR="00DB1706" w:rsidRDefault="00DE22F0" w:rsidP="007361D1">
      <w:pPr>
        <w:jc w:val="both"/>
      </w:pPr>
      <w:r>
        <w:rPr>
          <w:noProof/>
          <w:lang w:eastAsia="pl-PL"/>
        </w:rPr>
        <w:lastRenderedPageBreak/>
        <w:drawing>
          <wp:inline distT="0" distB="0" distL="0" distR="0">
            <wp:extent cx="5600700" cy="7086442"/>
            <wp:effectExtent l="0" t="0" r="0" b="635"/>
            <wp:docPr id="2" name="Obraz 2" descr="C:\Users\Halina\Desktop\wniosek st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ina\Desktop\wniosek st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1935" cy="7088005"/>
                    </a:xfrm>
                    <a:prstGeom prst="rect">
                      <a:avLst/>
                    </a:prstGeom>
                    <a:noFill/>
                    <a:ln>
                      <a:noFill/>
                    </a:ln>
                  </pic:spPr>
                </pic:pic>
              </a:graphicData>
            </a:graphic>
          </wp:inline>
        </w:drawing>
      </w:r>
    </w:p>
    <w:p w:rsidR="00DE22F0" w:rsidRDefault="00DE22F0" w:rsidP="007361D1">
      <w:pPr>
        <w:jc w:val="both"/>
      </w:pPr>
      <w:r>
        <w:rPr>
          <w:noProof/>
          <w:lang w:eastAsia="pl-PL"/>
        </w:rPr>
        <w:lastRenderedPageBreak/>
        <w:drawing>
          <wp:inline distT="0" distB="0" distL="0" distR="0">
            <wp:extent cx="5760720" cy="7930403"/>
            <wp:effectExtent l="0" t="0" r="0" b="0"/>
            <wp:docPr id="3" name="Obraz 3" descr="C:\Users\Halina\Pictures\2019-05-28\wniosek st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ina\Pictures\2019-05-28\wniosek str.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930403"/>
                    </a:xfrm>
                    <a:prstGeom prst="rect">
                      <a:avLst/>
                    </a:prstGeom>
                    <a:noFill/>
                    <a:ln>
                      <a:noFill/>
                    </a:ln>
                  </pic:spPr>
                </pic:pic>
              </a:graphicData>
            </a:graphic>
          </wp:inline>
        </w:drawing>
      </w:r>
    </w:p>
    <w:p w:rsidR="00DB1706" w:rsidRDefault="00DB1706" w:rsidP="007361D1">
      <w:pPr>
        <w:jc w:val="both"/>
      </w:pPr>
    </w:p>
    <w:p w:rsidR="00DB1706" w:rsidRDefault="00DB1706" w:rsidP="007361D1">
      <w:pPr>
        <w:jc w:val="both"/>
      </w:pPr>
    </w:p>
    <w:p w:rsidR="00DB1706" w:rsidRDefault="00DB1706" w:rsidP="007361D1">
      <w:pPr>
        <w:jc w:val="both"/>
      </w:pPr>
    </w:p>
    <w:p w:rsidR="00DB1706" w:rsidRDefault="00DB1706" w:rsidP="007361D1">
      <w:pPr>
        <w:jc w:val="both"/>
      </w:pPr>
    </w:p>
    <w:p w:rsidR="00DB1706" w:rsidRPr="00962CBC" w:rsidRDefault="00DB1706" w:rsidP="007361D1">
      <w:pPr>
        <w:jc w:val="both"/>
        <w:rPr>
          <w:b/>
          <w:u w:val="single"/>
        </w:rPr>
      </w:pPr>
      <w:r w:rsidRPr="00962CBC">
        <w:rPr>
          <w:b/>
          <w:u w:val="single"/>
        </w:rPr>
        <w:t>Wyjaśnienie Zamawiającego:</w:t>
      </w:r>
    </w:p>
    <w:p w:rsidR="00DB1706" w:rsidRDefault="00DB1706" w:rsidP="00290D40">
      <w:pPr>
        <w:spacing w:after="0" w:line="360" w:lineRule="auto"/>
        <w:jc w:val="both"/>
        <w:rPr>
          <w:rFonts w:ascii="Times New Roman" w:hAnsi="Times New Roman"/>
          <w:sz w:val="24"/>
          <w:szCs w:val="24"/>
          <w:lang w:eastAsia="pl-PL"/>
        </w:rPr>
      </w:pPr>
      <w:r w:rsidRPr="00290D40">
        <w:rPr>
          <w:rFonts w:ascii="Times New Roman" w:hAnsi="Times New Roman"/>
          <w:sz w:val="24"/>
          <w:szCs w:val="24"/>
        </w:rPr>
        <w:t xml:space="preserve"> Opis przedmiotu zamówienia nie określa szczegółowo jakie meble będą podlegały ocenie komisji. </w:t>
      </w:r>
      <w:r w:rsidRPr="00290D40">
        <w:rPr>
          <w:rFonts w:ascii="Times New Roman" w:hAnsi="Times New Roman"/>
          <w:color w:val="000000"/>
          <w:sz w:val="24"/>
          <w:szCs w:val="24"/>
        </w:rPr>
        <w:t>Meble,</w:t>
      </w:r>
      <w:r>
        <w:rPr>
          <w:rFonts w:ascii="Times New Roman" w:hAnsi="Times New Roman"/>
          <w:color w:val="000000"/>
          <w:sz w:val="24"/>
          <w:szCs w:val="24"/>
        </w:rPr>
        <w:t xml:space="preserve"> </w:t>
      </w:r>
      <w:r w:rsidRPr="00290D40">
        <w:rPr>
          <w:rFonts w:ascii="Times New Roman" w:hAnsi="Times New Roman"/>
          <w:color w:val="000000"/>
          <w:sz w:val="24"/>
          <w:szCs w:val="24"/>
        </w:rPr>
        <w:t xml:space="preserve">które </w:t>
      </w:r>
      <w:r w:rsidRPr="00290D40">
        <w:rPr>
          <w:rFonts w:ascii="Times New Roman" w:hAnsi="Times New Roman"/>
          <w:sz w:val="24"/>
          <w:szCs w:val="24"/>
          <w:lang w:eastAsia="pl-PL"/>
        </w:rPr>
        <w:t>w</w:t>
      </w:r>
      <w:r w:rsidRPr="007049B2">
        <w:rPr>
          <w:rFonts w:ascii="Times New Roman" w:hAnsi="Times New Roman"/>
          <w:sz w:val="24"/>
          <w:szCs w:val="24"/>
          <w:lang w:eastAsia="pl-PL"/>
        </w:rPr>
        <w:t>ykonawca jest zobowiązany</w:t>
      </w:r>
      <w:r w:rsidRPr="00290D40">
        <w:rPr>
          <w:rFonts w:ascii="Times New Roman" w:hAnsi="Times New Roman"/>
          <w:color w:val="000000"/>
          <w:sz w:val="24"/>
          <w:szCs w:val="24"/>
        </w:rPr>
        <w:t xml:space="preserve"> </w:t>
      </w:r>
      <w:r w:rsidRPr="007049B2">
        <w:rPr>
          <w:rFonts w:ascii="Times New Roman" w:hAnsi="Times New Roman"/>
          <w:sz w:val="24"/>
          <w:szCs w:val="24"/>
          <w:lang w:eastAsia="pl-PL"/>
        </w:rPr>
        <w:t xml:space="preserve">do dostarczenia </w:t>
      </w:r>
      <w:r w:rsidRPr="00290D40">
        <w:rPr>
          <w:rFonts w:ascii="Times New Roman" w:hAnsi="Times New Roman"/>
          <w:sz w:val="24"/>
          <w:szCs w:val="24"/>
          <w:lang w:eastAsia="pl-PL"/>
        </w:rPr>
        <w:t>jako wzó</w:t>
      </w:r>
      <w:r w:rsidRPr="007049B2">
        <w:rPr>
          <w:rFonts w:ascii="Times New Roman" w:hAnsi="Times New Roman"/>
          <w:sz w:val="24"/>
          <w:szCs w:val="24"/>
          <w:lang w:eastAsia="pl-PL"/>
        </w:rPr>
        <w:t>r asortymentu meblowego</w:t>
      </w:r>
      <w:r w:rsidRPr="00290D40">
        <w:rPr>
          <w:rFonts w:ascii="Times New Roman" w:hAnsi="Times New Roman"/>
          <w:sz w:val="24"/>
          <w:szCs w:val="24"/>
          <w:lang w:eastAsia="pl-PL"/>
        </w:rPr>
        <w:t xml:space="preserve">, </w:t>
      </w:r>
      <w:r w:rsidRPr="007049B2">
        <w:rPr>
          <w:rFonts w:ascii="Times New Roman" w:hAnsi="Times New Roman"/>
          <w:sz w:val="24"/>
          <w:szCs w:val="24"/>
          <w:lang w:eastAsia="pl-PL"/>
        </w:rPr>
        <w:t>który będzie podlegał ocenie przez członków komisji przetargowej to: krzesło, ławka składana, stołek, stół</w:t>
      </w:r>
      <w:r>
        <w:rPr>
          <w:rFonts w:ascii="Times New Roman" w:hAnsi="Times New Roman"/>
          <w:sz w:val="24"/>
          <w:szCs w:val="24"/>
          <w:lang w:eastAsia="pl-PL"/>
        </w:rPr>
        <w:t>.  W celu uniknięcia szeregu kłopotów z określeniem, które meble należy dostarczyć w celu dokonania oceny została utworzona zakładka wzory w załączniku nr 3 do SIWZ – formularz cenowy. Informacja dotycząca powyższej wiadomości została zawarta w punkcie 16.4 SIWZ.</w:t>
      </w:r>
    </w:p>
    <w:p w:rsidR="00DB1706" w:rsidRDefault="00DB1706" w:rsidP="00290D40">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Mając na uwadze zawarte we wniosku zapytania Zamawiający udziela wyjaśnienia:</w:t>
      </w:r>
    </w:p>
    <w:p w:rsidR="00DB1706" w:rsidRPr="0074204B" w:rsidRDefault="00DB1706" w:rsidP="0074204B">
      <w:pPr>
        <w:pStyle w:val="Akapitzlist"/>
        <w:numPr>
          <w:ilvl w:val="0"/>
          <w:numId w:val="1"/>
        </w:numPr>
        <w:spacing w:after="0" w:line="360" w:lineRule="auto"/>
        <w:jc w:val="both"/>
        <w:rPr>
          <w:rFonts w:ascii="Times New Roman" w:hAnsi="Times New Roman"/>
          <w:color w:val="000000"/>
          <w:sz w:val="24"/>
          <w:szCs w:val="24"/>
        </w:rPr>
      </w:pPr>
      <w:r w:rsidRPr="0074204B">
        <w:rPr>
          <w:rFonts w:ascii="Times New Roman" w:hAnsi="Times New Roman"/>
          <w:sz w:val="24"/>
          <w:szCs w:val="24"/>
          <w:lang w:eastAsia="pl-PL"/>
        </w:rPr>
        <w:t xml:space="preserve">Ocena </w:t>
      </w:r>
      <w:r>
        <w:rPr>
          <w:rFonts w:ascii="Times New Roman" w:hAnsi="Times New Roman"/>
          <w:sz w:val="24"/>
          <w:szCs w:val="24"/>
          <w:lang w:eastAsia="pl-PL"/>
        </w:rPr>
        <w:t>dotycząca ergonomii czyli</w:t>
      </w:r>
      <w:r w:rsidRPr="0074204B">
        <w:rPr>
          <w:rFonts w:ascii="Times New Roman" w:hAnsi="Times New Roman"/>
          <w:sz w:val="24"/>
          <w:szCs w:val="24"/>
          <w:lang w:eastAsia="pl-PL"/>
        </w:rPr>
        <w:t xml:space="preserve"> dostosowania krzesła do </w:t>
      </w:r>
      <w:r>
        <w:rPr>
          <w:rFonts w:ascii="Times New Roman" w:hAnsi="Times New Roman"/>
          <w:sz w:val="24"/>
          <w:szCs w:val="24"/>
          <w:lang w:eastAsia="pl-PL"/>
        </w:rPr>
        <w:t xml:space="preserve">różnej </w:t>
      </w:r>
      <w:r w:rsidRPr="0074204B">
        <w:rPr>
          <w:rFonts w:ascii="Times New Roman" w:hAnsi="Times New Roman"/>
          <w:sz w:val="24"/>
          <w:szCs w:val="24"/>
          <w:lang w:eastAsia="pl-PL"/>
        </w:rPr>
        <w:t>budowy anatomicznej</w:t>
      </w:r>
      <w:r>
        <w:rPr>
          <w:rFonts w:ascii="Times New Roman" w:hAnsi="Times New Roman"/>
          <w:sz w:val="24"/>
          <w:szCs w:val="24"/>
          <w:lang w:eastAsia="pl-PL"/>
        </w:rPr>
        <w:t xml:space="preserve"> użytkowników</w:t>
      </w:r>
      <w:r w:rsidRPr="0074204B">
        <w:rPr>
          <w:rFonts w:ascii="Times New Roman" w:hAnsi="Times New Roman"/>
          <w:sz w:val="24"/>
          <w:szCs w:val="24"/>
          <w:lang w:eastAsia="pl-PL"/>
        </w:rPr>
        <w:t>,</w:t>
      </w:r>
      <w:r>
        <w:rPr>
          <w:rFonts w:ascii="Times New Roman" w:hAnsi="Times New Roman"/>
          <w:sz w:val="24"/>
          <w:szCs w:val="24"/>
          <w:lang w:eastAsia="pl-PL"/>
        </w:rPr>
        <w:t xml:space="preserve"> </w:t>
      </w:r>
      <w:r w:rsidRPr="0074204B">
        <w:rPr>
          <w:rFonts w:ascii="Times New Roman" w:hAnsi="Times New Roman"/>
          <w:color w:val="020202"/>
          <w:sz w:val="24"/>
          <w:szCs w:val="24"/>
          <w:shd w:val="clear" w:color="auto" w:fill="F5F5F5"/>
        </w:rPr>
        <w:t>wyprofilowan</w:t>
      </w:r>
      <w:r>
        <w:rPr>
          <w:rFonts w:ascii="Times New Roman" w:hAnsi="Times New Roman"/>
          <w:color w:val="020202"/>
          <w:sz w:val="24"/>
          <w:szCs w:val="24"/>
          <w:shd w:val="clear" w:color="auto" w:fill="F5F5F5"/>
        </w:rPr>
        <w:t>ia</w:t>
      </w:r>
      <w:r w:rsidRPr="0074204B">
        <w:rPr>
          <w:rFonts w:ascii="Times New Roman" w:hAnsi="Times New Roman"/>
          <w:color w:val="020202"/>
          <w:sz w:val="24"/>
          <w:szCs w:val="24"/>
          <w:shd w:val="clear" w:color="auto" w:fill="F5F5F5"/>
        </w:rPr>
        <w:t xml:space="preserve"> oparci</w:t>
      </w:r>
      <w:r>
        <w:rPr>
          <w:rFonts w:ascii="Times New Roman" w:hAnsi="Times New Roman"/>
          <w:color w:val="020202"/>
          <w:sz w:val="24"/>
          <w:szCs w:val="24"/>
          <w:shd w:val="clear" w:color="auto" w:fill="F5F5F5"/>
        </w:rPr>
        <w:t>a</w:t>
      </w:r>
      <w:r w:rsidRPr="0074204B">
        <w:rPr>
          <w:rFonts w:ascii="Times New Roman" w:hAnsi="Times New Roman"/>
          <w:color w:val="020202"/>
          <w:sz w:val="24"/>
          <w:szCs w:val="24"/>
          <w:shd w:val="clear" w:color="auto" w:fill="F5F5F5"/>
        </w:rPr>
        <w:t xml:space="preserve"> oraz</w:t>
      </w:r>
      <w:r>
        <w:rPr>
          <w:rFonts w:ascii="Times New Roman" w:hAnsi="Times New Roman"/>
          <w:color w:val="020202"/>
          <w:sz w:val="24"/>
          <w:szCs w:val="24"/>
          <w:shd w:val="clear" w:color="auto" w:fill="F5F5F5"/>
        </w:rPr>
        <w:t xml:space="preserve"> siedziska zgodnie z naturalnym </w:t>
      </w:r>
      <w:r w:rsidRPr="0074204B">
        <w:rPr>
          <w:rFonts w:ascii="Times New Roman" w:hAnsi="Times New Roman"/>
          <w:color w:val="020202"/>
          <w:sz w:val="24"/>
          <w:szCs w:val="24"/>
          <w:shd w:val="clear" w:color="auto" w:fill="F5F5F5"/>
        </w:rPr>
        <w:t>wygięciem kręgosłupa i odcinkiem udowym kończyn dolnych</w:t>
      </w:r>
      <w:r>
        <w:rPr>
          <w:rFonts w:ascii="Times New Roman" w:hAnsi="Times New Roman"/>
          <w:color w:val="020202"/>
          <w:sz w:val="24"/>
          <w:szCs w:val="24"/>
          <w:shd w:val="clear" w:color="auto" w:fill="F5F5F5"/>
        </w:rPr>
        <w:t xml:space="preserve">. Krzesło </w:t>
      </w:r>
      <w:r w:rsidRPr="0074204B">
        <w:rPr>
          <w:rFonts w:ascii="Times New Roman" w:hAnsi="Times New Roman"/>
          <w:sz w:val="24"/>
          <w:szCs w:val="24"/>
          <w:lang w:eastAsia="pl-PL"/>
        </w:rPr>
        <w:t xml:space="preserve">jednocześnie </w:t>
      </w:r>
      <w:r>
        <w:rPr>
          <w:rFonts w:ascii="Times New Roman" w:hAnsi="Times New Roman"/>
          <w:sz w:val="24"/>
          <w:szCs w:val="24"/>
          <w:lang w:eastAsia="pl-PL"/>
        </w:rPr>
        <w:t xml:space="preserve">winno umożliwiać zachowanie </w:t>
      </w:r>
      <w:r w:rsidRPr="003B36DD">
        <w:rPr>
          <w:rFonts w:ascii="Times New Roman" w:hAnsi="Times New Roman"/>
          <w:sz w:val="24"/>
          <w:szCs w:val="24"/>
          <w:lang w:eastAsia="pl-PL"/>
        </w:rPr>
        <w:t>prawidłowej pozycji siedzącej, w tym również siedzenie przodem i tyłem (często stosowane przez ucznia) co oznacza</w:t>
      </w:r>
      <w:r>
        <w:rPr>
          <w:rFonts w:ascii="Times New Roman" w:hAnsi="Times New Roman"/>
          <w:sz w:val="24"/>
          <w:szCs w:val="24"/>
          <w:lang w:eastAsia="pl-PL"/>
        </w:rPr>
        <w:t>, że dany model winien posiadać wcięcie w dolnej części oparcia krzesła zezwalające na w miarę swobodne ustawienie nóg.</w:t>
      </w:r>
    </w:p>
    <w:p w:rsidR="00DB1706" w:rsidRPr="003B36DD" w:rsidRDefault="00DB1706" w:rsidP="0074204B">
      <w:pPr>
        <w:pStyle w:val="Akapitzlist"/>
        <w:numPr>
          <w:ilvl w:val="0"/>
          <w:numId w:val="1"/>
        </w:numPr>
        <w:spacing w:after="0" w:line="360" w:lineRule="auto"/>
        <w:jc w:val="both"/>
        <w:rPr>
          <w:rFonts w:ascii="Times New Roman" w:hAnsi="Times New Roman"/>
          <w:sz w:val="24"/>
          <w:szCs w:val="24"/>
        </w:rPr>
      </w:pPr>
      <w:r w:rsidRPr="003B36DD">
        <w:rPr>
          <w:rFonts w:ascii="Times New Roman" w:hAnsi="Times New Roman"/>
          <w:sz w:val="24"/>
          <w:szCs w:val="24"/>
          <w:lang w:eastAsia="pl-PL"/>
        </w:rPr>
        <w:t xml:space="preserve">W zakresie oceny trwałości i sposobu  wymiany ślizgów komisja będzie brała pod uwagę materiał, z którego zostały wykonane ślizgi, ich trwałość w kontakcie </w:t>
      </w:r>
      <w:r w:rsidRPr="003B36DD">
        <w:rPr>
          <w:rFonts w:ascii="Times New Roman" w:hAnsi="Times New Roman"/>
          <w:sz w:val="24"/>
          <w:szCs w:val="24"/>
          <w:lang w:eastAsia="pl-PL"/>
        </w:rPr>
        <w:br/>
        <w:t xml:space="preserve">z różnego rodzaju podłożem, sposób montażu do płozy krzesła (wcisk, zamocowanie na wkręt, śrubę, nit,) ułatwiający możliwie stabilne zamocowanie. Przy zastosowaniu miękkiego materiału na ślizg czas przeznaczony na zbadanie ścieralności nie musi być długi, przy podłodze wykonanej z gresu prawdopodobnie ślizg ulegnie zarysowaniu, otarciu. </w:t>
      </w:r>
    </w:p>
    <w:p w:rsidR="00DB1706" w:rsidRPr="002F1BAE" w:rsidRDefault="00DB1706" w:rsidP="0074204B">
      <w:pPr>
        <w:pStyle w:val="Akapitzlist"/>
        <w:numPr>
          <w:ilvl w:val="0"/>
          <w:numId w:val="1"/>
        </w:numPr>
        <w:spacing w:after="0" w:line="360" w:lineRule="auto"/>
        <w:jc w:val="both"/>
        <w:rPr>
          <w:rFonts w:ascii="Times New Roman" w:hAnsi="Times New Roman"/>
          <w:color w:val="000000"/>
          <w:sz w:val="24"/>
          <w:szCs w:val="24"/>
        </w:rPr>
      </w:pPr>
      <w:r>
        <w:rPr>
          <w:rFonts w:ascii="Times New Roman" w:hAnsi="Times New Roman"/>
          <w:sz w:val="24"/>
          <w:szCs w:val="24"/>
          <w:lang w:eastAsia="pl-PL"/>
        </w:rPr>
        <w:t xml:space="preserve">W odniesieniu do pytania dotyczącego zgodności kolorów ocenianego modelu mebla </w:t>
      </w:r>
      <w:r>
        <w:rPr>
          <w:rFonts w:ascii="Times New Roman" w:hAnsi="Times New Roman"/>
          <w:sz w:val="24"/>
          <w:szCs w:val="24"/>
          <w:lang w:eastAsia="pl-PL"/>
        </w:rPr>
        <w:br/>
        <w:t xml:space="preserve">z wzorem w SIWZ w Rozdziale 3 Przedmiot zamówienia, w punkcie 3.7 zostały szczegółowo zawarte warunki dotyczące kolorystyki mebli jakie Wykonawca musi spełnić. Jednocześnie w wyżej wymienionej zakładce wzory w załączniku nr 3 do SIWZ – formularz cenowy w kolumnie dodatkowe informacje przy każdej pozycji został wymieniony kolor. Mając na uwadze wymienione w SIWZ kolory wraz </w:t>
      </w:r>
      <w:r w:rsidR="00C83A1F">
        <w:rPr>
          <w:rFonts w:ascii="Times New Roman" w:hAnsi="Times New Roman"/>
          <w:sz w:val="24"/>
          <w:szCs w:val="24"/>
          <w:lang w:eastAsia="pl-PL"/>
        </w:rPr>
        <w:br/>
      </w:r>
      <w:r>
        <w:rPr>
          <w:rFonts w:ascii="Times New Roman" w:hAnsi="Times New Roman"/>
          <w:sz w:val="24"/>
          <w:szCs w:val="24"/>
          <w:lang w:eastAsia="pl-PL"/>
        </w:rPr>
        <w:t>z numerami zawartymi w ogólnodostępnej palecie kolorów PANTONE  Wykonawca może dokonać wstępnej analizy kolorów jaką winien zaprezentować w dostarczanych modelach mebli.</w:t>
      </w:r>
    </w:p>
    <w:p w:rsidR="00DB1706" w:rsidRDefault="00DB1706" w:rsidP="002F1BAE">
      <w:pPr>
        <w:pStyle w:val="Akapitzlist"/>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Zamawiający nie określa szczegółowo koloru jednym z wybranych numerów palety, lecz daje możliwość wyboru jednego z zaproponowanych odcieni np.  </w:t>
      </w:r>
      <w:hyperlink r:id="rId9" w:history="1">
        <w:r w:rsidRPr="00ED0412">
          <w:rPr>
            <w:rStyle w:val="Hipercze"/>
            <w:rFonts w:ascii="Times New Roman" w:hAnsi="Times New Roman"/>
            <w:sz w:val="24"/>
            <w:szCs w:val="24"/>
          </w:rPr>
          <w:t>https://encycolorpedia.pl/c4db0d</w:t>
        </w:r>
      </w:hyperlink>
      <w:r>
        <w:rPr>
          <w:rFonts w:ascii="Times New Roman" w:hAnsi="Times New Roman"/>
          <w:color w:val="000000"/>
          <w:sz w:val="24"/>
          <w:szCs w:val="24"/>
        </w:rPr>
        <w:t>.</w:t>
      </w:r>
    </w:p>
    <w:p w:rsidR="00DE22F0" w:rsidRPr="00DE22F0" w:rsidRDefault="00DE22F0" w:rsidP="00C12149">
      <w:pPr>
        <w:pStyle w:val="Akapitzlist"/>
        <w:numPr>
          <w:ilvl w:val="0"/>
          <w:numId w:val="1"/>
        </w:numPr>
        <w:spacing w:after="0" w:line="360" w:lineRule="auto"/>
        <w:jc w:val="both"/>
        <w:rPr>
          <w:rFonts w:ascii="Times New Roman" w:hAnsi="Times New Roman"/>
          <w:color w:val="FF0000"/>
          <w:sz w:val="24"/>
          <w:szCs w:val="24"/>
        </w:rPr>
      </w:pPr>
      <w:r w:rsidRPr="003B36DD">
        <w:rPr>
          <w:rFonts w:ascii="Times New Roman" w:hAnsi="Times New Roman"/>
          <w:sz w:val="24"/>
          <w:szCs w:val="24"/>
        </w:rPr>
        <w:t>Aby dokonać oceny dotyczącej długiego i intensywnego korzystania trudno przewidzieć okres czasu jaki będzie wykorzystany w celu dokonania takiej oceny</w:t>
      </w:r>
      <w:r w:rsidR="00C83A1F">
        <w:rPr>
          <w:rFonts w:ascii="Times New Roman" w:hAnsi="Times New Roman"/>
          <w:sz w:val="24"/>
          <w:szCs w:val="24"/>
        </w:rPr>
        <w:t>.</w:t>
      </w:r>
    </w:p>
    <w:p w:rsidR="00DB1706" w:rsidRPr="003B36DD" w:rsidRDefault="003B36DD" w:rsidP="00DE22F0">
      <w:pPr>
        <w:pStyle w:val="Akapitzlist"/>
        <w:spacing w:after="0" w:line="360" w:lineRule="auto"/>
        <w:jc w:val="both"/>
        <w:rPr>
          <w:rFonts w:ascii="Times New Roman" w:hAnsi="Times New Roman"/>
          <w:color w:val="FF0000"/>
          <w:sz w:val="24"/>
          <w:szCs w:val="24"/>
        </w:rPr>
      </w:pPr>
      <w:r w:rsidRPr="003B36DD">
        <w:rPr>
          <w:rFonts w:ascii="Times New Roman" w:hAnsi="Times New Roman"/>
          <w:sz w:val="24"/>
          <w:szCs w:val="24"/>
        </w:rPr>
        <w:t xml:space="preserve">Jednocześnie Zamawiający przewiduje, że badanie wskazanego kryterium zajmie członkom komisji minimum 30 minut. Komisja będzie testowała asortyment meblowy, poddając go oddziaływaniom, jakie mogą wystąpić w codziennym ich użytkowaniu. Testy będą miały na celu sprawdzenie możliwości długiego </w:t>
      </w:r>
      <w:r w:rsidR="00C83A1F">
        <w:rPr>
          <w:rFonts w:ascii="Times New Roman" w:hAnsi="Times New Roman"/>
          <w:sz w:val="24"/>
          <w:szCs w:val="24"/>
        </w:rPr>
        <w:br/>
      </w:r>
      <w:r w:rsidRPr="003B36DD">
        <w:rPr>
          <w:rFonts w:ascii="Times New Roman" w:hAnsi="Times New Roman"/>
          <w:sz w:val="24"/>
          <w:szCs w:val="24"/>
        </w:rPr>
        <w:t>i intensywnego korzystania z ocenianego asortymentu</w:t>
      </w:r>
      <w:r>
        <w:rPr>
          <w:rFonts w:ascii="Times New Roman" w:hAnsi="Times New Roman"/>
          <w:sz w:val="24"/>
          <w:szCs w:val="24"/>
        </w:rPr>
        <w:t>.</w:t>
      </w:r>
    </w:p>
    <w:p w:rsidR="00DE22F0" w:rsidRPr="00DE22F0" w:rsidRDefault="00DE22F0" w:rsidP="007F459F">
      <w:pPr>
        <w:pStyle w:val="Akapitzlist"/>
        <w:numPr>
          <w:ilvl w:val="0"/>
          <w:numId w:val="1"/>
        </w:numPr>
        <w:spacing w:after="0" w:line="360" w:lineRule="auto"/>
        <w:jc w:val="both"/>
        <w:rPr>
          <w:rFonts w:ascii="Times New Roman" w:hAnsi="Times New Roman"/>
          <w:sz w:val="24"/>
          <w:szCs w:val="24"/>
          <w:lang w:eastAsia="pl-PL"/>
        </w:rPr>
      </w:pPr>
      <w:r w:rsidRPr="00DE22F0">
        <w:rPr>
          <w:rFonts w:ascii="Times New Roman" w:hAnsi="Times New Roman"/>
          <w:color w:val="000000"/>
          <w:sz w:val="24"/>
          <w:szCs w:val="24"/>
        </w:rPr>
        <w:t xml:space="preserve">Odnośnie pytania dotyczącego sposobu przyznawania punktów w zakresie estetyki wykonania  </w:t>
      </w:r>
      <w:r w:rsidRPr="00DE22F0">
        <w:rPr>
          <w:rFonts w:ascii="Times New Roman" w:hAnsi="Times New Roman"/>
          <w:sz w:val="24"/>
          <w:szCs w:val="24"/>
        </w:rPr>
        <w:t xml:space="preserve">Zamawiający nie wskazuje stopnia </w:t>
      </w:r>
      <w:proofErr w:type="spellStart"/>
      <w:r w:rsidRPr="00DE22F0">
        <w:rPr>
          <w:rFonts w:ascii="Times New Roman" w:hAnsi="Times New Roman"/>
          <w:sz w:val="24"/>
          <w:szCs w:val="24"/>
        </w:rPr>
        <w:t>zafazowania</w:t>
      </w:r>
      <w:proofErr w:type="spellEnd"/>
      <w:r w:rsidRPr="00DE22F0">
        <w:rPr>
          <w:rFonts w:ascii="Times New Roman" w:hAnsi="Times New Roman"/>
          <w:sz w:val="24"/>
          <w:szCs w:val="24"/>
        </w:rPr>
        <w:t>/zaokrąglenia krawędzi mebla. Punktacja zostanie przyznana na podstawie oceny wizualno-dotykowej. Komisja będzie oceniała kształt mebla oraz dbałość o wykończenie ze zwróceniem szczególnej uwagi na sposób końcowej obróbki mebla, sprawdzi, czy nie ma on ostrych krawędzi i/lub innych niedoróbek</w:t>
      </w:r>
    </w:p>
    <w:p w:rsidR="00DE22F0" w:rsidRDefault="00DE22F0" w:rsidP="007F459F">
      <w:pPr>
        <w:jc w:val="both"/>
        <w:rPr>
          <w:rFonts w:ascii="Times New Roman" w:hAnsi="Times New Roman"/>
          <w:sz w:val="24"/>
          <w:szCs w:val="24"/>
        </w:rPr>
      </w:pPr>
    </w:p>
    <w:p w:rsidR="00DB1706" w:rsidRPr="000C71ED" w:rsidRDefault="00DB1706" w:rsidP="007F459F">
      <w:pPr>
        <w:jc w:val="both"/>
        <w:rPr>
          <w:rFonts w:ascii="Times New Roman" w:hAnsi="Times New Roman"/>
          <w:sz w:val="24"/>
          <w:szCs w:val="24"/>
        </w:rPr>
      </w:pPr>
      <w:r w:rsidRPr="000C71ED">
        <w:rPr>
          <w:rFonts w:ascii="Times New Roman" w:hAnsi="Times New Roman"/>
          <w:sz w:val="24"/>
          <w:szCs w:val="24"/>
        </w:rPr>
        <w:t>W odpowiedzi na  zapis zawarty w końcowej treści wniosku:</w:t>
      </w:r>
    </w:p>
    <w:p w:rsidR="00DB1706" w:rsidRDefault="00DB1706" w:rsidP="00B467ED">
      <w:pPr>
        <w:spacing w:line="360" w:lineRule="auto"/>
        <w:jc w:val="both"/>
        <w:rPr>
          <w:rFonts w:ascii="Times New Roman" w:hAnsi="Times New Roman"/>
          <w:sz w:val="24"/>
          <w:szCs w:val="24"/>
        </w:rPr>
      </w:pPr>
      <w:r w:rsidRPr="000C71ED">
        <w:rPr>
          <w:rFonts w:ascii="Times New Roman" w:hAnsi="Times New Roman"/>
          <w:sz w:val="24"/>
          <w:szCs w:val="24"/>
        </w:rPr>
        <w:t xml:space="preserve">„W związku z faktem, iż kryterium jakość, a przede wszystkim sposób oceny spełnienia </w:t>
      </w:r>
      <w:r>
        <w:rPr>
          <w:rFonts w:ascii="Times New Roman" w:hAnsi="Times New Roman"/>
          <w:sz w:val="24"/>
          <w:szCs w:val="24"/>
        </w:rPr>
        <w:t>i punktacji tego kryterium zawiera wiele niejednoznaczności i nieścisłości, a co za tym idzie powoduje, iż postanowienia te nie zapewniają zgodności z zasadami przejrzystości, niedyskryminacji, równego traktowania, warunków efektywnej konkurencji, a przede wszystkim obiektywizmu- istnieje konieczność:</w:t>
      </w:r>
    </w:p>
    <w:p w:rsidR="00DB1706" w:rsidRDefault="00DB1706" w:rsidP="00B467ED">
      <w:pPr>
        <w:pStyle w:val="Akapitzlist"/>
        <w:numPr>
          <w:ilvl w:val="0"/>
          <w:numId w:val="2"/>
        </w:numPr>
        <w:spacing w:line="360" w:lineRule="auto"/>
        <w:jc w:val="both"/>
        <w:rPr>
          <w:rFonts w:ascii="Times New Roman" w:hAnsi="Times New Roman"/>
          <w:sz w:val="24"/>
          <w:szCs w:val="24"/>
        </w:rPr>
      </w:pPr>
      <w:r>
        <w:rPr>
          <w:rFonts w:ascii="Times New Roman" w:hAnsi="Times New Roman"/>
          <w:sz w:val="24"/>
          <w:szCs w:val="24"/>
        </w:rPr>
        <w:t>zniesienia niniejszego kryterium, albo</w:t>
      </w:r>
    </w:p>
    <w:p w:rsidR="00DB1706" w:rsidRDefault="00DB1706" w:rsidP="00B467ED">
      <w:pPr>
        <w:pStyle w:val="Akapitzlist"/>
        <w:numPr>
          <w:ilvl w:val="0"/>
          <w:numId w:val="2"/>
        </w:numPr>
        <w:spacing w:line="360" w:lineRule="auto"/>
        <w:jc w:val="both"/>
        <w:rPr>
          <w:rFonts w:ascii="Times New Roman" w:hAnsi="Times New Roman"/>
          <w:sz w:val="24"/>
          <w:szCs w:val="24"/>
        </w:rPr>
      </w:pPr>
      <w:r>
        <w:rPr>
          <w:rFonts w:ascii="Times New Roman" w:hAnsi="Times New Roman"/>
          <w:sz w:val="24"/>
          <w:szCs w:val="24"/>
        </w:rPr>
        <w:t>doprecyzowanie opisu przedmiotu zamówienia oraz opisu kryterium jakość w stopniu umożliwiającym obiektywną ocenę ofert wykonawców.</w:t>
      </w:r>
    </w:p>
    <w:p w:rsidR="00DB1706" w:rsidRDefault="00DB1706" w:rsidP="006A3905">
      <w:pPr>
        <w:pStyle w:val="Akapitzlist"/>
        <w:spacing w:line="360" w:lineRule="auto"/>
        <w:ind w:left="0"/>
        <w:jc w:val="both"/>
        <w:rPr>
          <w:rFonts w:ascii="Times New Roman" w:hAnsi="Times New Roman"/>
          <w:sz w:val="24"/>
          <w:szCs w:val="24"/>
        </w:rPr>
      </w:pPr>
      <w:r>
        <w:rPr>
          <w:rFonts w:ascii="Times New Roman" w:hAnsi="Times New Roman"/>
          <w:sz w:val="24"/>
          <w:szCs w:val="24"/>
        </w:rPr>
        <w:t xml:space="preserve">Czy w celu zapewnienia zgodności niniejszego Przetargu z normami wynikającymi </w:t>
      </w:r>
      <w:r w:rsidR="00C83A1F">
        <w:rPr>
          <w:rFonts w:ascii="Times New Roman" w:hAnsi="Times New Roman"/>
          <w:sz w:val="24"/>
          <w:szCs w:val="24"/>
        </w:rPr>
        <w:br/>
      </w:r>
      <w:r>
        <w:rPr>
          <w:rFonts w:ascii="Times New Roman" w:hAnsi="Times New Roman"/>
          <w:sz w:val="24"/>
          <w:szCs w:val="24"/>
        </w:rPr>
        <w:t>z przepisów ustawy Prawo zamówień publicznych Zamawiający dokona czynności o których mowa powyżej (pkt. 1 albo</w:t>
      </w:r>
      <w:r w:rsidR="00DE22F0">
        <w:rPr>
          <w:rFonts w:ascii="Times New Roman" w:hAnsi="Times New Roman"/>
          <w:sz w:val="24"/>
          <w:szCs w:val="24"/>
        </w:rPr>
        <w:t xml:space="preserve"> </w:t>
      </w:r>
      <w:r>
        <w:rPr>
          <w:rFonts w:ascii="Times New Roman" w:hAnsi="Times New Roman"/>
          <w:sz w:val="24"/>
          <w:szCs w:val="24"/>
        </w:rPr>
        <w:t>2)?”</w:t>
      </w:r>
    </w:p>
    <w:p w:rsidR="00DB1706" w:rsidRDefault="00DB1706" w:rsidP="00B467ED">
      <w:pPr>
        <w:pStyle w:val="Akapitzlist"/>
        <w:spacing w:line="360" w:lineRule="auto"/>
        <w:jc w:val="both"/>
        <w:rPr>
          <w:rFonts w:ascii="Times New Roman" w:hAnsi="Times New Roman"/>
          <w:sz w:val="24"/>
          <w:szCs w:val="24"/>
        </w:rPr>
      </w:pPr>
      <w:r>
        <w:rPr>
          <w:rFonts w:ascii="Times New Roman" w:hAnsi="Times New Roman"/>
          <w:sz w:val="24"/>
          <w:szCs w:val="24"/>
        </w:rPr>
        <w:t xml:space="preserve"> </w:t>
      </w:r>
    </w:p>
    <w:p w:rsidR="00DB1706" w:rsidRDefault="00DB1706" w:rsidP="00DE22F0">
      <w:pPr>
        <w:pStyle w:val="Akapitzlist"/>
        <w:spacing w:line="360" w:lineRule="auto"/>
        <w:ind w:left="0"/>
        <w:jc w:val="both"/>
        <w:rPr>
          <w:rFonts w:ascii="Times New Roman" w:hAnsi="Times New Roman"/>
          <w:sz w:val="24"/>
          <w:szCs w:val="24"/>
        </w:rPr>
      </w:pPr>
      <w:r>
        <w:rPr>
          <w:rFonts w:ascii="Times New Roman" w:hAnsi="Times New Roman"/>
          <w:sz w:val="24"/>
          <w:szCs w:val="24"/>
        </w:rPr>
        <w:t>Zgodnie z powyższym</w:t>
      </w:r>
      <w:r w:rsidR="00C83A1F">
        <w:rPr>
          <w:rFonts w:ascii="Times New Roman" w:hAnsi="Times New Roman"/>
          <w:sz w:val="24"/>
          <w:szCs w:val="24"/>
        </w:rPr>
        <w:t>i</w:t>
      </w:r>
      <w:r>
        <w:rPr>
          <w:rFonts w:ascii="Times New Roman" w:hAnsi="Times New Roman"/>
          <w:sz w:val="24"/>
          <w:szCs w:val="24"/>
        </w:rPr>
        <w:t xml:space="preserve"> odpowiedziami na zadane zapytania, Zamawiający doprecyzował opis kryterium jakości, wyjaśniając jakie elementy będą podlegały ocenie. </w:t>
      </w:r>
      <w:bookmarkStart w:id="0" w:name="_GoBack"/>
      <w:bookmarkEnd w:id="0"/>
    </w:p>
    <w:sectPr w:rsidR="00DB1706" w:rsidSect="008242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505"/>
    <w:multiLevelType w:val="hybridMultilevel"/>
    <w:tmpl w:val="E54C58A4"/>
    <w:lvl w:ilvl="0" w:tplc="0415000F">
      <w:start w:val="1"/>
      <w:numFmt w:val="decimal"/>
      <w:lvlText w:val="%1."/>
      <w:lvlJc w:val="left"/>
      <w:pPr>
        <w:ind w:left="720" w:hanging="360"/>
      </w:pPr>
      <w:rPr>
        <w:rFonts w:eastAsia="Times New Roman"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43387682"/>
    <w:multiLevelType w:val="hybridMultilevel"/>
    <w:tmpl w:val="6958ECC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44407B8F"/>
    <w:multiLevelType w:val="hybridMultilevel"/>
    <w:tmpl w:val="CBA066EA"/>
    <w:lvl w:ilvl="0" w:tplc="2DAA524C">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B76"/>
    <w:rsid w:val="000401BB"/>
    <w:rsid w:val="000C71ED"/>
    <w:rsid w:val="00102FED"/>
    <w:rsid w:val="00131840"/>
    <w:rsid w:val="00145CCF"/>
    <w:rsid w:val="00290D40"/>
    <w:rsid w:val="002B7193"/>
    <w:rsid w:val="002F1BAE"/>
    <w:rsid w:val="003018BC"/>
    <w:rsid w:val="003808C2"/>
    <w:rsid w:val="00396F5C"/>
    <w:rsid w:val="003B36DD"/>
    <w:rsid w:val="003D1B73"/>
    <w:rsid w:val="005F2B76"/>
    <w:rsid w:val="006069FC"/>
    <w:rsid w:val="006224EC"/>
    <w:rsid w:val="006A3905"/>
    <w:rsid w:val="007049B2"/>
    <w:rsid w:val="00735A10"/>
    <w:rsid w:val="007361D1"/>
    <w:rsid w:val="0074204B"/>
    <w:rsid w:val="007F2C7F"/>
    <w:rsid w:val="007F459F"/>
    <w:rsid w:val="0082422B"/>
    <w:rsid w:val="00846923"/>
    <w:rsid w:val="00885EC1"/>
    <w:rsid w:val="009456CA"/>
    <w:rsid w:val="00962CBC"/>
    <w:rsid w:val="009B45D4"/>
    <w:rsid w:val="00AD176C"/>
    <w:rsid w:val="00B307A4"/>
    <w:rsid w:val="00B467ED"/>
    <w:rsid w:val="00B6312B"/>
    <w:rsid w:val="00BC7E17"/>
    <w:rsid w:val="00BE24CD"/>
    <w:rsid w:val="00C12149"/>
    <w:rsid w:val="00C43737"/>
    <w:rsid w:val="00C83A1F"/>
    <w:rsid w:val="00CA3F75"/>
    <w:rsid w:val="00D94E62"/>
    <w:rsid w:val="00DB1706"/>
    <w:rsid w:val="00DE22F0"/>
    <w:rsid w:val="00E15A95"/>
    <w:rsid w:val="00E173DA"/>
    <w:rsid w:val="00E92737"/>
    <w:rsid w:val="00EC56C5"/>
    <w:rsid w:val="00ED0412"/>
    <w:rsid w:val="00F236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422B"/>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rsid w:val="005F2B7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rsid w:val="007361D1"/>
    <w:rPr>
      <w:rFonts w:cs="Times New Roman"/>
      <w:b/>
      <w:bCs/>
    </w:rPr>
  </w:style>
  <w:style w:type="paragraph" w:styleId="Tekstdymka">
    <w:name w:val="Balloon Text"/>
    <w:basedOn w:val="Normalny"/>
    <w:link w:val="TekstdymkaZnak"/>
    <w:uiPriority w:val="99"/>
    <w:semiHidden/>
    <w:rsid w:val="00BE24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24CD"/>
    <w:rPr>
      <w:rFonts w:ascii="Tahoma" w:hAnsi="Tahoma" w:cs="Tahoma"/>
      <w:sz w:val="16"/>
      <w:szCs w:val="16"/>
    </w:rPr>
  </w:style>
  <w:style w:type="paragraph" w:styleId="Akapitzlist">
    <w:name w:val="List Paragraph"/>
    <w:aliases w:val="BulletC,Numerowanie,Wyliczanie,Obiekt,normalny tekst"/>
    <w:basedOn w:val="Normalny"/>
    <w:link w:val="AkapitzlistZnak"/>
    <w:uiPriority w:val="99"/>
    <w:qFormat/>
    <w:rsid w:val="0074204B"/>
    <w:pPr>
      <w:ind w:left="720"/>
      <w:contextualSpacing/>
    </w:pPr>
  </w:style>
  <w:style w:type="character" w:styleId="Hipercze">
    <w:name w:val="Hyperlink"/>
    <w:basedOn w:val="Domylnaczcionkaakapitu"/>
    <w:uiPriority w:val="99"/>
    <w:rsid w:val="002F1BAE"/>
    <w:rPr>
      <w:rFonts w:cs="Times New Roman"/>
      <w:color w:val="0563C1"/>
      <w:u w:val="single"/>
    </w:rPr>
  </w:style>
  <w:style w:type="character" w:styleId="UyteHipercze">
    <w:name w:val="FollowedHyperlink"/>
    <w:basedOn w:val="Domylnaczcionkaakapitu"/>
    <w:uiPriority w:val="99"/>
    <w:semiHidden/>
    <w:rsid w:val="002F1BAE"/>
    <w:rPr>
      <w:rFonts w:cs="Times New Roman"/>
      <w:color w:val="954F72"/>
      <w:u w:val="single"/>
    </w:rPr>
  </w:style>
  <w:style w:type="character" w:styleId="Odwoaniedokomentarza">
    <w:name w:val="annotation reference"/>
    <w:basedOn w:val="Domylnaczcionkaakapitu"/>
    <w:uiPriority w:val="99"/>
    <w:semiHidden/>
    <w:rsid w:val="00885EC1"/>
    <w:rPr>
      <w:rFonts w:cs="Times New Roman"/>
      <w:sz w:val="16"/>
      <w:szCs w:val="16"/>
    </w:rPr>
  </w:style>
  <w:style w:type="paragraph" w:styleId="Tekstkomentarza">
    <w:name w:val="annotation text"/>
    <w:basedOn w:val="Normalny"/>
    <w:link w:val="TekstkomentarzaZnak"/>
    <w:uiPriority w:val="99"/>
    <w:semiHidden/>
    <w:rsid w:val="00885EC1"/>
    <w:rPr>
      <w:sz w:val="20"/>
      <w:szCs w:val="20"/>
    </w:rPr>
  </w:style>
  <w:style w:type="character" w:customStyle="1" w:styleId="TekstkomentarzaZnak">
    <w:name w:val="Tekst komentarza Znak"/>
    <w:basedOn w:val="Domylnaczcionkaakapitu"/>
    <w:link w:val="Tekstkomentarza"/>
    <w:uiPriority w:val="99"/>
    <w:semiHidden/>
    <w:rsid w:val="00B62E44"/>
    <w:rPr>
      <w:sz w:val="20"/>
      <w:szCs w:val="20"/>
      <w:lang w:eastAsia="en-US"/>
    </w:rPr>
  </w:style>
  <w:style w:type="paragraph" w:styleId="Tematkomentarza">
    <w:name w:val="annotation subject"/>
    <w:basedOn w:val="Tekstkomentarza"/>
    <w:next w:val="Tekstkomentarza"/>
    <w:link w:val="TematkomentarzaZnak"/>
    <w:uiPriority w:val="99"/>
    <w:semiHidden/>
    <w:rsid w:val="00885EC1"/>
    <w:rPr>
      <w:b/>
      <w:bCs/>
    </w:rPr>
  </w:style>
  <w:style w:type="character" w:customStyle="1" w:styleId="TematkomentarzaZnak">
    <w:name w:val="Temat komentarza Znak"/>
    <w:basedOn w:val="TekstkomentarzaZnak"/>
    <w:link w:val="Tematkomentarza"/>
    <w:uiPriority w:val="99"/>
    <w:semiHidden/>
    <w:rsid w:val="00B62E44"/>
    <w:rPr>
      <w:b/>
      <w:bCs/>
      <w:sz w:val="20"/>
      <w:szCs w:val="20"/>
      <w:lang w:eastAsia="en-US"/>
    </w:rPr>
  </w:style>
  <w:style w:type="character" w:customStyle="1" w:styleId="AkapitzlistZnak">
    <w:name w:val="Akapit z listą Znak"/>
    <w:aliases w:val="BulletC Znak,Numerowanie Znak,Wyliczanie Znak,Obiekt Znak,normalny tekst Znak"/>
    <w:link w:val="Akapitzlist"/>
    <w:uiPriority w:val="99"/>
    <w:locked/>
    <w:rsid w:val="00E92737"/>
    <w:rPr>
      <w:rFonts w:ascii="Calibri" w:hAnsi="Calibri"/>
      <w:sz w:val="22"/>
      <w:lang w:val="pl-P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422B"/>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rsid w:val="005F2B7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rsid w:val="007361D1"/>
    <w:rPr>
      <w:rFonts w:cs="Times New Roman"/>
      <w:b/>
      <w:bCs/>
    </w:rPr>
  </w:style>
  <w:style w:type="paragraph" w:styleId="Tekstdymka">
    <w:name w:val="Balloon Text"/>
    <w:basedOn w:val="Normalny"/>
    <w:link w:val="TekstdymkaZnak"/>
    <w:uiPriority w:val="99"/>
    <w:semiHidden/>
    <w:rsid w:val="00BE24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24CD"/>
    <w:rPr>
      <w:rFonts w:ascii="Tahoma" w:hAnsi="Tahoma" w:cs="Tahoma"/>
      <w:sz w:val="16"/>
      <w:szCs w:val="16"/>
    </w:rPr>
  </w:style>
  <w:style w:type="paragraph" w:styleId="Akapitzlist">
    <w:name w:val="List Paragraph"/>
    <w:aliases w:val="BulletC,Numerowanie,Wyliczanie,Obiekt,normalny tekst"/>
    <w:basedOn w:val="Normalny"/>
    <w:link w:val="AkapitzlistZnak"/>
    <w:uiPriority w:val="99"/>
    <w:qFormat/>
    <w:rsid w:val="0074204B"/>
    <w:pPr>
      <w:ind w:left="720"/>
      <w:contextualSpacing/>
    </w:pPr>
  </w:style>
  <w:style w:type="character" w:styleId="Hipercze">
    <w:name w:val="Hyperlink"/>
    <w:basedOn w:val="Domylnaczcionkaakapitu"/>
    <w:uiPriority w:val="99"/>
    <w:rsid w:val="002F1BAE"/>
    <w:rPr>
      <w:rFonts w:cs="Times New Roman"/>
      <w:color w:val="0563C1"/>
      <w:u w:val="single"/>
    </w:rPr>
  </w:style>
  <w:style w:type="character" w:styleId="UyteHipercze">
    <w:name w:val="FollowedHyperlink"/>
    <w:basedOn w:val="Domylnaczcionkaakapitu"/>
    <w:uiPriority w:val="99"/>
    <w:semiHidden/>
    <w:rsid w:val="002F1BAE"/>
    <w:rPr>
      <w:rFonts w:cs="Times New Roman"/>
      <w:color w:val="954F72"/>
      <w:u w:val="single"/>
    </w:rPr>
  </w:style>
  <w:style w:type="character" w:styleId="Odwoaniedokomentarza">
    <w:name w:val="annotation reference"/>
    <w:basedOn w:val="Domylnaczcionkaakapitu"/>
    <w:uiPriority w:val="99"/>
    <w:semiHidden/>
    <w:rsid w:val="00885EC1"/>
    <w:rPr>
      <w:rFonts w:cs="Times New Roman"/>
      <w:sz w:val="16"/>
      <w:szCs w:val="16"/>
    </w:rPr>
  </w:style>
  <w:style w:type="paragraph" w:styleId="Tekstkomentarza">
    <w:name w:val="annotation text"/>
    <w:basedOn w:val="Normalny"/>
    <w:link w:val="TekstkomentarzaZnak"/>
    <w:uiPriority w:val="99"/>
    <w:semiHidden/>
    <w:rsid w:val="00885EC1"/>
    <w:rPr>
      <w:sz w:val="20"/>
      <w:szCs w:val="20"/>
    </w:rPr>
  </w:style>
  <w:style w:type="character" w:customStyle="1" w:styleId="TekstkomentarzaZnak">
    <w:name w:val="Tekst komentarza Znak"/>
    <w:basedOn w:val="Domylnaczcionkaakapitu"/>
    <w:link w:val="Tekstkomentarza"/>
    <w:uiPriority w:val="99"/>
    <w:semiHidden/>
    <w:rsid w:val="00B62E44"/>
    <w:rPr>
      <w:sz w:val="20"/>
      <w:szCs w:val="20"/>
      <w:lang w:eastAsia="en-US"/>
    </w:rPr>
  </w:style>
  <w:style w:type="paragraph" w:styleId="Tematkomentarza">
    <w:name w:val="annotation subject"/>
    <w:basedOn w:val="Tekstkomentarza"/>
    <w:next w:val="Tekstkomentarza"/>
    <w:link w:val="TematkomentarzaZnak"/>
    <w:uiPriority w:val="99"/>
    <w:semiHidden/>
    <w:rsid w:val="00885EC1"/>
    <w:rPr>
      <w:b/>
      <w:bCs/>
    </w:rPr>
  </w:style>
  <w:style w:type="character" w:customStyle="1" w:styleId="TematkomentarzaZnak">
    <w:name w:val="Temat komentarza Znak"/>
    <w:basedOn w:val="TekstkomentarzaZnak"/>
    <w:link w:val="Tematkomentarza"/>
    <w:uiPriority w:val="99"/>
    <w:semiHidden/>
    <w:rsid w:val="00B62E44"/>
    <w:rPr>
      <w:b/>
      <w:bCs/>
      <w:sz w:val="20"/>
      <w:szCs w:val="20"/>
      <w:lang w:eastAsia="en-US"/>
    </w:rPr>
  </w:style>
  <w:style w:type="character" w:customStyle="1" w:styleId="AkapitzlistZnak">
    <w:name w:val="Akapit z listą Znak"/>
    <w:aliases w:val="BulletC Znak,Numerowanie Znak,Wyliczanie Znak,Obiekt Znak,normalny tekst Znak"/>
    <w:link w:val="Akapitzlist"/>
    <w:uiPriority w:val="99"/>
    <w:locked/>
    <w:rsid w:val="00E92737"/>
    <w:rPr>
      <w:rFonts w:ascii="Calibri" w:hAnsi="Calibri"/>
      <w:sz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24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cycolorpedia.pl/c4db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740</Words>
  <Characters>4444</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ZAMAWIAJĄCY:</vt:lpstr>
    </vt:vector>
  </TitlesOfParts>
  <Company/>
  <LinksUpToDate>false</LinksUpToDate>
  <CharactersWithSpaces>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Admin</dc:creator>
  <cp:lastModifiedBy>Halina</cp:lastModifiedBy>
  <cp:revision>2</cp:revision>
  <cp:lastPrinted>2019-05-27T07:49:00Z</cp:lastPrinted>
  <dcterms:created xsi:type="dcterms:W3CDTF">2019-05-28T10:26:00Z</dcterms:created>
  <dcterms:modified xsi:type="dcterms:W3CDTF">2019-05-28T10:26:00Z</dcterms:modified>
</cp:coreProperties>
</file>