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58" w:rsidRDefault="00504E58" w:rsidP="003476FC">
      <w:pPr>
        <w:spacing w:line="360" w:lineRule="auto"/>
        <w:jc w:val="center"/>
        <w:rPr>
          <w:rFonts w:ascii="Times New Roman" w:hAnsi="Times New Roman"/>
          <w:color w:val="000000"/>
        </w:rPr>
      </w:pPr>
      <w:r>
        <w:rPr>
          <w:rFonts w:ascii="Times New Roman" w:hAnsi="Times New Roman"/>
          <w:color w:val="000000"/>
        </w:rPr>
        <w:t>ZAMAWIAJĄCY:</w:t>
      </w:r>
    </w:p>
    <w:p w:rsidR="00504E58" w:rsidRPr="00CA3F75" w:rsidRDefault="00504E58" w:rsidP="003476FC">
      <w:pPr>
        <w:spacing w:line="360" w:lineRule="auto"/>
        <w:jc w:val="center"/>
        <w:rPr>
          <w:rFonts w:ascii="Times New Roman" w:hAnsi="Times New Roman"/>
          <w:color w:val="000000"/>
        </w:rPr>
      </w:pPr>
      <w:r w:rsidRPr="00CA3F75">
        <w:rPr>
          <w:rFonts w:ascii="Times New Roman" w:hAnsi="Times New Roman"/>
          <w:color w:val="000000"/>
        </w:rPr>
        <w:t xml:space="preserve">XVII Liceum Ogólnokształcące w Gdyni </w:t>
      </w:r>
    </w:p>
    <w:p w:rsidR="00504E58" w:rsidRPr="00CA3F75" w:rsidRDefault="00504E58" w:rsidP="003476FC">
      <w:pPr>
        <w:spacing w:line="360" w:lineRule="auto"/>
        <w:jc w:val="center"/>
        <w:rPr>
          <w:rFonts w:ascii="Times-Roman" w:hAnsi="Times-Roman" w:cs="Times-Roman"/>
        </w:rPr>
      </w:pPr>
      <w:r w:rsidRPr="00CA3F75">
        <w:rPr>
          <w:rFonts w:ascii="Times New Roman" w:hAnsi="Times New Roman"/>
          <w:color w:val="000000"/>
        </w:rPr>
        <w:t>81-364 Gdynia, ul. 10 Lutego 26</w:t>
      </w:r>
    </w:p>
    <w:p w:rsidR="00504E58" w:rsidRDefault="00504E58" w:rsidP="003476FC">
      <w:pPr>
        <w:spacing w:line="360" w:lineRule="auto"/>
        <w:rPr>
          <w:rFonts w:ascii="Times New Roman" w:hAnsi="Times New Roman"/>
        </w:rPr>
      </w:pPr>
    </w:p>
    <w:p w:rsidR="00504E58" w:rsidRPr="00CA3F75" w:rsidRDefault="00504E58" w:rsidP="003476FC">
      <w:pPr>
        <w:spacing w:line="360" w:lineRule="auto"/>
        <w:jc w:val="both"/>
        <w:rPr>
          <w:rFonts w:ascii="Times New Roman" w:hAnsi="Times New Roman"/>
        </w:rPr>
      </w:pPr>
      <w:r w:rsidRPr="00CA3F75">
        <w:rPr>
          <w:rFonts w:ascii="Times New Roman" w:hAnsi="Times New Roman"/>
        </w:rPr>
        <w:t>Przetarg nieograniczony</w:t>
      </w:r>
      <w:r>
        <w:rPr>
          <w:rFonts w:ascii="Times New Roman" w:hAnsi="Times New Roman"/>
        </w:rPr>
        <w:t xml:space="preserve"> na: </w:t>
      </w:r>
      <w:r w:rsidRPr="00CA3F75">
        <w:rPr>
          <w:rFonts w:ascii="Times New Roman" w:hAnsi="Times New Roman"/>
          <w:b/>
          <w:bCs/>
          <w:color w:val="000000"/>
        </w:rPr>
        <w:t xml:space="preserve">Dostawę mebli wraz z montażem dla Zespołu Szkół Ogólnokształcących nr 8 w Gdyni przy ulicy </w:t>
      </w:r>
      <w:proofErr w:type="spellStart"/>
      <w:r w:rsidRPr="00CA3F75">
        <w:rPr>
          <w:rFonts w:ascii="Times New Roman" w:hAnsi="Times New Roman"/>
          <w:b/>
          <w:bCs/>
          <w:color w:val="000000"/>
        </w:rPr>
        <w:t>Wiczlińskiej</w:t>
      </w:r>
      <w:proofErr w:type="spellEnd"/>
      <w:r w:rsidRPr="00CA3F75">
        <w:rPr>
          <w:rFonts w:ascii="Times New Roman" w:hAnsi="Times New Roman"/>
          <w:b/>
          <w:bCs/>
          <w:color w:val="000000"/>
        </w:rPr>
        <w:t xml:space="preserve"> 50A</w:t>
      </w:r>
    </w:p>
    <w:p w:rsidR="00504E58" w:rsidRPr="00CA3F75" w:rsidRDefault="00504E58" w:rsidP="003476FC">
      <w:pPr>
        <w:spacing w:line="360" w:lineRule="auto"/>
        <w:jc w:val="both"/>
        <w:rPr>
          <w:rFonts w:ascii="Times New Roman" w:hAnsi="Times New Roman"/>
        </w:rPr>
      </w:pPr>
      <w:r w:rsidRPr="00CA3F75">
        <w:rPr>
          <w:rFonts w:ascii="Times New Roman" w:hAnsi="Times New Roman"/>
        </w:rPr>
        <w:t>wartość zamówienia jest niższa od kwoty określonej w przepisach wydanych na podstawie art. 11 ust. 8</w:t>
      </w:r>
      <w:r>
        <w:rPr>
          <w:rFonts w:ascii="Times New Roman" w:hAnsi="Times New Roman"/>
        </w:rPr>
        <w:t xml:space="preserve"> </w:t>
      </w:r>
      <w:r w:rsidRPr="00CA3F75">
        <w:rPr>
          <w:rFonts w:ascii="Times New Roman" w:hAnsi="Times New Roman"/>
        </w:rPr>
        <w:t>ustawy z dnia 29 stycznia 2004 r. Prawo zamówień publicznych</w:t>
      </w:r>
      <w:r w:rsidRPr="00CA3F75">
        <w:rPr>
          <w:rFonts w:ascii="Times New Roman" w:hAnsi="Times New Roman"/>
          <w:color w:val="000000"/>
        </w:rPr>
        <w:t xml:space="preserve"> (tekst jednolity - Dz. U. z 2018 r. poz</w:t>
      </w:r>
      <w:r>
        <w:rPr>
          <w:rFonts w:ascii="Times New Roman" w:hAnsi="Times New Roman"/>
          <w:color w:val="000000"/>
        </w:rPr>
        <w:t>.</w:t>
      </w:r>
      <w:r w:rsidRPr="00CA3F75">
        <w:rPr>
          <w:rFonts w:ascii="Times New Roman" w:hAnsi="Times New Roman"/>
          <w:color w:val="000000"/>
        </w:rPr>
        <w:t xml:space="preserve"> 1986 z </w:t>
      </w:r>
      <w:proofErr w:type="spellStart"/>
      <w:r w:rsidRPr="00CA3F75">
        <w:rPr>
          <w:rFonts w:ascii="Times New Roman" w:hAnsi="Times New Roman"/>
          <w:color w:val="000000"/>
        </w:rPr>
        <w:t>późn</w:t>
      </w:r>
      <w:proofErr w:type="spellEnd"/>
      <w:r>
        <w:rPr>
          <w:rFonts w:ascii="Times New Roman" w:hAnsi="Times New Roman"/>
          <w:color w:val="000000"/>
        </w:rPr>
        <w:t>.</w:t>
      </w:r>
      <w:r w:rsidRPr="00CA3F75">
        <w:rPr>
          <w:rFonts w:ascii="Times New Roman" w:hAnsi="Times New Roman"/>
          <w:color w:val="000000"/>
        </w:rPr>
        <w:t xml:space="preserve"> zm.)</w:t>
      </w:r>
    </w:p>
    <w:p w:rsidR="00504E58" w:rsidRPr="00CA3F75" w:rsidRDefault="00504E58" w:rsidP="003476FC">
      <w:pPr>
        <w:pStyle w:val="NormalnyWeb"/>
        <w:spacing w:line="360" w:lineRule="auto"/>
        <w:jc w:val="both"/>
      </w:pPr>
      <w:r w:rsidRPr="00CA3F75">
        <w:t>Działając na mocy art. 38 ust. 1 i ust 2 ustawy z dnia 29 stycznia 2004r. Prawo zamówień publicznych</w:t>
      </w:r>
      <w:r>
        <w:t xml:space="preserve"> (t</w:t>
      </w:r>
      <w:r w:rsidRPr="00CA3F75">
        <w:t>ekst jednolity</w:t>
      </w:r>
      <w:r>
        <w:t xml:space="preserve"> Dz.U.2018r. poz. 1986 z </w:t>
      </w:r>
      <w:proofErr w:type="spellStart"/>
      <w:r>
        <w:t>pózn</w:t>
      </w:r>
      <w:proofErr w:type="spellEnd"/>
      <w:r>
        <w:t>. zm.) przekazuję treść zapytania, jakie wpłynęło w związku z powyższym postępowaniem wraz z zastępującym wyjaśnieniem:</w:t>
      </w:r>
    </w:p>
    <w:p w:rsidR="00504E58" w:rsidRDefault="00504E58" w:rsidP="003476FC">
      <w:pPr>
        <w:pStyle w:val="NormalnyWeb"/>
        <w:jc w:val="both"/>
        <w:rPr>
          <w:b/>
          <w:u w:val="single"/>
        </w:rPr>
      </w:pPr>
      <w:r w:rsidRPr="005F2B76">
        <w:rPr>
          <w:b/>
          <w:u w:val="single"/>
        </w:rPr>
        <w:t>Zapytanie o treści:</w:t>
      </w:r>
    </w:p>
    <w:p w:rsidR="00504E58" w:rsidRDefault="00504E58" w:rsidP="00C10187">
      <w:pPr>
        <w:jc w:val="both"/>
      </w:pPr>
      <w:r>
        <w:t>Szanowni Państwo</w:t>
      </w:r>
    </w:p>
    <w:p w:rsidR="00504E58" w:rsidRDefault="00504E58" w:rsidP="00C10187">
      <w:pPr>
        <w:jc w:val="both"/>
      </w:pPr>
      <w:r>
        <w:t xml:space="preserve"> </w:t>
      </w:r>
    </w:p>
    <w:p w:rsidR="00504E58" w:rsidRDefault="00504E58" w:rsidP="00C10187">
      <w:pPr>
        <w:jc w:val="both"/>
      </w:pPr>
      <w:r>
        <w:t xml:space="preserve">W związku z ogłoszonym postępowaniem na: Dostawę mebli wraz z montażem dla Zespołu Szkół Ogólnokształcących nr 8 w Gdyni przy ulicy </w:t>
      </w:r>
      <w:proofErr w:type="spellStart"/>
      <w:r>
        <w:t>Wiczlińskiej</w:t>
      </w:r>
      <w:proofErr w:type="spellEnd"/>
      <w:r>
        <w:t xml:space="preserve"> 50A</w:t>
      </w:r>
    </w:p>
    <w:p w:rsidR="00504E58" w:rsidRDefault="00504E58" w:rsidP="00C10187">
      <w:pPr>
        <w:jc w:val="both"/>
      </w:pPr>
      <w:r>
        <w:t>działając na podstawie art. 38 ust 1 oraz w zw. z art. 38 ust. 4 ustawy Prawo zamówień publicznych, zwracam się o wyjaśnienie treści specyfikacji istotnych warunków zamówienia (dalej: „</w:t>
      </w:r>
      <w:proofErr w:type="spellStart"/>
      <w:r>
        <w:t>siwz</w:t>
      </w:r>
      <w:proofErr w:type="spellEnd"/>
      <w:r>
        <w:t>”) oraz jej zmianę w następującym zakresie:</w:t>
      </w:r>
    </w:p>
    <w:p w:rsidR="00504E58" w:rsidRDefault="00504E58" w:rsidP="00C10187">
      <w:pPr>
        <w:jc w:val="both"/>
      </w:pPr>
      <w:r>
        <w:t>1.</w:t>
      </w:r>
      <w:r>
        <w:tab/>
        <w:t>Proszę o informację dot. kolorystyki mebli.</w:t>
      </w:r>
    </w:p>
    <w:p w:rsidR="00504E58" w:rsidRDefault="00504E58" w:rsidP="00C10187">
      <w:pPr>
        <w:jc w:val="both"/>
      </w:pPr>
      <w:r>
        <w:t xml:space="preserve">Zamawiający w rozdziale 3 pkt 3.7 </w:t>
      </w:r>
      <w:proofErr w:type="spellStart"/>
      <w:r>
        <w:t>siwz</w:t>
      </w:r>
      <w:proofErr w:type="spellEnd"/>
      <w:r>
        <w:t xml:space="preserve"> wskazuje zakres kolorystyczny blatów stołów i ławek w salach lekcyjnych i jadalni, opierając się na systemie identyfikacji kolorów opracowanych przez firmę </w:t>
      </w:r>
      <w:proofErr w:type="spellStart"/>
      <w:r>
        <w:t>Pantone</w:t>
      </w:r>
      <w:proofErr w:type="spellEnd"/>
      <w:r>
        <w:t xml:space="preserve"> </w:t>
      </w:r>
      <w:proofErr w:type="spellStart"/>
      <w:r>
        <w:t>inc.</w:t>
      </w:r>
      <w:proofErr w:type="spellEnd"/>
      <w:r>
        <w:t xml:space="preserve"> z USA. </w:t>
      </w:r>
    </w:p>
    <w:p w:rsidR="00504E58" w:rsidRDefault="00504E58" w:rsidP="00C10187">
      <w:pPr>
        <w:jc w:val="both"/>
      </w:pPr>
      <w:r>
        <w:t>System ten nie jest w praktyce stosowany w materiałach meblowych a wykorzystywany przede wszystkim w nadrukach. Do określenia zakresu kolorystycznego w meblarstwie, stosuje się m.in. skalę RAL.</w:t>
      </w:r>
    </w:p>
    <w:p w:rsidR="00504E58" w:rsidRDefault="00504E58" w:rsidP="00C10187">
      <w:pPr>
        <w:jc w:val="both"/>
      </w:pPr>
      <w:r>
        <w:t>W związku z powyższym, prosimy o  wskazanie zakresu kolorystyki w skali RAL, albo o potwierdzenie że zamawiający dopuści kolorystkę zapewniającą zamawiającemu preferowane odcienie zieleni, błękitu i szarości, ale opierającą się na innym systemie identyfikacji kolorów.</w:t>
      </w:r>
    </w:p>
    <w:p w:rsidR="00504E58" w:rsidRDefault="00504E58" w:rsidP="00C10187">
      <w:pPr>
        <w:jc w:val="both"/>
      </w:pPr>
      <w:r>
        <w:t xml:space="preserve"> </w:t>
      </w:r>
    </w:p>
    <w:p w:rsidR="00504E58" w:rsidRDefault="00504E58" w:rsidP="00C10187">
      <w:pPr>
        <w:jc w:val="both"/>
      </w:pPr>
      <w:r>
        <w:t>2.</w:t>
      </w:r>
      <w:r>
        <w:tab/>
        <w:t>Proszę zmianę wymagań dotyczących:</w:t>
      </w:r>
    </w:p>
    <w:p w:rsidR="00504E58" w:rsidRDefault="00504E58" w:rsidP="00C10187">
      <w:pPr>
        <w:jc w:val="both"/>
      </w:pPr>
      <w:r>
        <w:t xml:space="preserve">a) grubości płyty wiórowej– wymaganie min. </w:t>
      </w:r>
      <w:smartTag w:uri="urn:schemas-microsoft-com:office:smarttags" w:element="metricconverter">
        <w:smartTagPr>
          <w:attr w:name="ProductID" w:val="19 mm"/>
        </w:smartTagPr>
        <w:r>
          <w:t>19 mm</w:t>
        </w:r>
      </w:smartTag>
      <w:r>
        <w:t xml:space="preserve">, przy standardzie </w:t>
      </w:r>
      <w:smartTag w:uri="urn:schemas-microsoft-com:office:smarttags" w:element="metricconverter">
        <w:smartTagPr>
          <w:attr w:name="ProductID" w:val="18 mm"/>
        </w:smartTagPr>
        <w:r>
          <w:t>18 mm</w:t>
        </w:r>
      </w:smartTag>
      <w:r>
        <w:t xml:space="preserve">, regulacji za pomocą śruby z łbem sześciokątnym, budowy podstawy ławki: Podstawa ławki ma składać się z centralnie umieszczonego stalowego elementu poprzecznego z przegubową konsolą, czy też </w:t>
      </w:r>
      <w:r w:rsidRPr="00EC38E1">
        <w:t>z zaczepem do mocowania blatu w pozycji poziomej i pionowej</w:t>
      </w:r>
      <w:r>
        <w:t xml:space="preserve">, gdyż zestawione łącznie ww. wymagania wskazują na wyposażenie niemieckiej firmy </w:t>
      </w:r>
      <w:r w:rsidRPr="00A360E1">
        <w:t xml:space="preserve">VS </w:t>
      </w:r>
      <w:proofErr w:type="spellStart"/>
      <w:r w:rsidRPr="00A360E1">
        <w:t>Vereinigte</w:t>
      </w:r>
      <w:proofErr w:type="spellEnd"/>
      <w:r w:rsidRPr="00A360E1">
        <w:t xml:space="preserve"> </w:t>
      </w:r>
      <w:proofErr w:type="spellStart"/>
      <w:r w:rsidRPr="00A360E1">
        <w:t>Spezialmöbelfabriken</w:t>
      </w:r>
      <w:proofErr w:type="spellEnd"/>
      <w:r w:rsidRPr="00A360E1">
        <w:t xml:space="preserve"> GmbH &amp; Co. KG</w:t>
      </w:r>
    </w:p>
    <w:p w:rsidR="00504E58" w:rsidRDefault="00504E58" w:rsidP="00C10187">
      <w:pPr>
        <w:jc w:val="both"/>
      </w:pPr>
      <w:r>
        <w:t xml:space="preserve">Proszę o zmianę powyższego na wymóg płyty min. </w:t>
      </w:r>
      <w:smartTag w:uri="urn:schemas-microsoft-com:office:smarttags" w:element="metricconverter">
        <w:smartTagPr>
          <w:attr w:name="ProductID" w:val="18 mm"/>
        </w:smartTagPr>
        <w:r>
          <w:t>18 mm</w:t>
        </w:r>
      </w:smartTag>
      <w:r>
        <w:t xml:space="preserve"> we wszystkich stołach, gdzie wskazano </w:t>
      </w:r>
      <w:proofErr w:type="spellStart"/>
      <w:r>
        <w:t>płyte</w:t>
      </w:r>
      <w:proofErr w:type="spellEnd"/>
      <w:r>
        <w:t xml:space="preserve"> min. </w:t>
      </w:r>
      <w:smartTag w:uri="urn:schemas-microsoft-com:office:smarttags" w:element="metricconverter">
        <w:smartTagPr>
          <w:attr w:name="ProductID" w:val="19 mm"/>
        </w:smartTagPr>
        <w:r>
          <w:t>19 mm</w:t>
        </w:r>
      </w:smartTag>
      <w:r>
        <w:t xml:space="preserve">, skreślenie wymogu regulacji za pomocą śruby z łbem sześciokątnym oraz </w:t>
      </w:r>
      <w:r>
        <w:lastRenderedPageBreak/>
        <w:t xml:space="preserve">usunięcie zapisu dot. elementu poprzecznego z przegubową konsolą, oraz zapisu dot. </w:t>
      </w:r>
      <w:r w:rsidRPr="00EC38E1">
        <w:t>zaczep</w:t>
      </w:r>
      <w:r>
        <w:t>u</w:t>
      </w:r>
      <w:r w:rsidRPr="00EC38E1">
        <w:t xml:space="preserve"> do mocowania blatu w pozycji poziomej i pionowej</w:t>
      </w:r>
      <w:r>
        <w:t>.</w:t>
      </w:r>
    </w:p>
    <w:p w:rsidR="00504E58" w:rsidRDefault="00504E58" w:rsidP="00C10187">
      <w:pPr>
        <w:jc w:val="both"/>
      </w:pPr>
      <w:r>
        <w:t xml:space="preserve">b) Wymiarów minimalnych i maksymalnych. Zamawiający określa wymiary minimalne i maksymalne, różniące się dokładnością </w:t>
      </w:r>
      <w:smartTag w:uri="urn:schemas-microsoft-com:office:smarttags" w:element="metricconverter">
        <w:smartTagPr>
          <w:attr w:name="ProductID" w:val="1 cm"/>
        </w:smartTagPr>
        <w:r>
          <w:t>1 cm</w:t>
        </w:r>
      </w:smartTag>
      <w:r>
        <w:t>, m.in. w pozycjach „ławka szkolna mobilna”</w:t>
      </w:r>
    </w:p>
    <w:p w:rsidR="00504E58" w:rsidRDefault="00504E58" w:rsidP="00C10187">
      <w:pPr>
        <w:jc w:val="both"/>
      </w:pPr>
      <w:r>
        <w:t>Proszę o zmianę powyższego na zakres tolerancji min. 5% od podanych wymiarów dla całego wymienionego asortymentu.</w:t>
      </w:r>
    </w:p>
    <w:p w:rsidR="00504E58" w:rsidRDefault="00504E58" w:rsidP="00C10187">
      <w:pPr>
        <w:jc w:val="both"/>
      </w:pPr>
      <w:r>
        <w:t xml:space="preserve">c) nóg </w:t>
      </w:r>
      <w:r w:rsidRPr="00EC38E1">
        <w:t>na płaskich, zwężających się stalowych płozach</w:t>
      </w:r>
      <w:r>
        <w:t xml:space="preserve"> w biurkach.</w:t>
      </w:r>
    </w:p>
    <w:p w:rsidR="00504E58" w:rsidRDefault="00504E58" w:rsidP="00C10187">
      <w:pPr>
        <w:jc w:val="both"/>
      </w:pPr>
      <w:r>
        <w:t>Proszę o dopuszczenie biurek bez zastosowania stalowych płóz.</w:t>
      </w:r>
    </w:p>
    <w:p w:rsidR="00504E58" w:rsidRDefault="00504E58" w:rsidP="00C10187">
      <w:pPr>
        <w:jc w:val="both"/>
      </w:pPr>
      <w:r>
        <w:t>d) t</w:t>
      </w:r>
      <w:r w:rsidRPr="00EC38E1">
        <w:t>y</w:t>
      </w:r>
      <w:r>
        <w:t>ł</w:t>
      </w:r>
      <w:r w:rsidRPr="00EC38E1">
        <w:t>u regału</w:t>
      </w:r>
      <w:r>
        <w:t xml:space="preserve"> bibliotecznego, który</w:t>
      </w:r>
      <w:r w:rsidRPr="00EC38E1">
        <w:t xml:space="preserve"> ma być wykonany z perforowanej blachy malowanej proszkowo żywicą epoksydową</w:t>
      </w:r>
    </w:p>
    <w:p w:rsidR="00504E58" w:rsidRDefault="00504E58" w:rsidP="00C10187">
      <w:pPr>
        <w:jc w:val="both"/>
      </w:pPr>
      <w:r>
        <w:t>Proszę o dopuszczenie regału w pełni wykonanej w płyty wiórowej.</w:t>
      </w:r>
    </w:p>
    <w:p w:rsidR="00504E58" w:rsidRDefault="00504E58" w:rsidP="00C10187">
      <w:pPr>
        <w:jc w:val="both"/>
      </w:pPr>
      <w:r w:rsidRPr="00766250">
        <w:t>e)</w:t>
      </w:r>
      <w:r w:rsidRPr="00766250">
        <w:rPr>
          <w:b/>
        </w:rPr>
        <w:t xml:space="preserve"> </w:t>
      </w:r>
      <w:r>
        <w:t>g</w:t>
      </w:r>
      <w:r w:rsidRPr="00766250">
        <w:t xml:space="preserve">rubość ścian bocznych i frontu min. </w:t>
      </w:r>
      <w:smartTag w:uri="urn:schemas-microsoft-com:office:smarttags" w:element="metricconverter">
        <w:smartTagPr>
          <w:attr w:name="ProductID" w:val="19 mm"/>
        </w:smartTagPr>
        <w:r w:rsidRPr="00766250">
          <w:t>19 mm</w:t>
        </w:r>
      </w:smartTag>
      <w:r w:rsidRPr="00766250">
        <w:t xml:space="preserve">, grubość tylnej płyty min </w:t>
      </w:r>
      <w:smartTag w:uri="urn:schemas-microsoft-com:office:smarttags" w:element="metricconverter">
        <w:smartTagPr>
          <w:attr w:name="ProductID" w:val="8 mm"/>
        </w:smartTagPr>
        <w:r w:rsidRPr="00766250">
          <w:t>8 mm</w:t>
        </w:r>
      </w:smartTag>
      <w:r>
        <w:t xml:space="preserve">,  gdyż zestawione łącznie ww. wymagania wskazują na wyposażenie niemieckiej firmy </w:t>
      </w:r>
      <w:r w:rsidRPr="00A360E1">
        <w:t xml:space="preserve">VS </w:t>
      </w:r>
      <w:proofErr w:type="spellStart"/>
      <w:r w:rsidRPr="00A360E1">
        <w:t>Vereinigte</w:t>
      </w:r>
      <w:proofErr w:type="spellEnd"/>
      <w:r w:rsidRPr="00A360E1">
        <w:t xml:space="preserve"> </w:t>
      </w:r>
      <w:proofErr w:type="spellStart"/>
      <w:r w:rsidRPr="00A360E1">
        <w:t>Spezialmöbelfabriken</w:t>
      </w:r>
      <w:proofErr w:type="spellEnd"/>
      <w:r w:rsidRPr="00A360E1">
        <w:t xml:space="preserve"> GmbH &amp; Co. KG</w:t>
      </w:r>
    </w:p>
    <w:p w:rsidR="00504E58" w:rsidRDefault="00504E58" w:rsidP="00C10187">
      <w:pPr>
        <w:jc w:val="both"/>
      </w:pPr>
      <w:r>
        <w:t xml:space="preserve">Proszę o dopuszczenie powszechnie stosowanych grubości ścian bocznych i frontu min. </w:t>
      </w:r>
      <w:smartTag w:uri="urn:schemas-microsoft-com:office:smarttags" w:element="metricconverter">
        <w:smartTagPr>
          <w:attr w:name="ProductID" w:val="18 mm"/>
        </w:smartTagPr>
        <w:r>
          <w:t>18 mm</w:t>
        </w:r>
      </w:smartTag>
      <w:r>
        <w:t xml:space="preserve"> oraz grubości tylnej płyty HDF min. </w:t>
      </w:r>
      <w:smartTag w:uri="urn:schemas-microsoft-com:office:smarttags" w:element="metricconverter">
        <w:smartTagPr>
          <w:attr w:name="ProductID" w:val="3 mm"/>
        </w:smartTagPr>
        <w:r>
          <w:t>3 mm</w:t>
        </w:r>
      </w:smartTag>
      <w:r>
        <w:t>, we wszystkich szafach wymienionych w SIWZ.</w:t>
      </w:r>
    </w:p>
    <w:p w:rsidR="00504E58" w:rsidRDefault="00504E58" w:rsidP="00C10187">
      <w:pPr>
        <w:jc w:val="both"/>
      </w:pPr>
      <w:r>
        <w:t xml:space="preserve">f) </w:t>
      </w:r>
      <w:r w:rsidRPr="00766250">
        <w:t>chromowanej rurowej konstrukcji stalowej</w:t>
      </w:r>
      <w:r>
        <w:t xml:space="preserve"> w </w:t>
      </w:r>
      <w:r w:rsidRPr="00766250">
        <w:t>fotel</w:t>
      </w:r>
      <w:r>
        <w:t xml:space="preserve">u </w:t>
      </w:r>
      <w:r w:rsidRPr="00766250">
        <w:t>obrotowy</w:t>
      </w:r>
      <w:r>
        <w:t>m</w:t>
      </w:r>
      <w:r w:rsidRPr="00766250">
        <w:t xml:space="preserve"> półokrągły</w:t>
      </w:r>
      <w:r>
        <w:t xml:space="preserve"> i okrągłym oraz chromowanych </w:t>
      </w:r>
      <w:r w:rsidRPr="00766250">
        <w:t>okrągłych wsporników stalowych</w:t>
      </w:r>
      <w:r>
        <w:t xml:space="preserve"> w sofie oraz kanapach tapicerowanych</w:t>
      </w:r>
    </w:p>
    <w:p w:rsidR="00504E58" w:rsidRDefault="00504E58" w:rsidP="00C10187">
      <w:pPr>
        <w:jc w:val="both"/>
      </w:pPr>
      <w:r>
        <w:t>Proszę o dopuszczenie konstrukcji i wsporników stalowych malowanych proszkowo.</w:t>
      </w:r>
    </w:p>
    <w:p w:rsidR="00504E58" w:rsidRDefault="00504E58" w:rsidP="00C10187">
      <w:pPr>
        <w:jc w:val="both"/>
      </w:pPr>
      <w:r>
        <w:t xml:space="preserve">g) </w:t>
      </w:r>
      <w:r w:rsidRPr="00E91078">
        <w:t>pokryw</w:t>
      </w:r>
      <w:r>
        <w:t>y</w:t>
      </w:r>
      <w:r w:rsidRPr="00E91078">
        <w:t xml:space="preserve"> ze stali nierdzewnej</w:t>
      </w:r>
      <w:r>
        <w:t>. W</w:t>
      </w:r>
      <w:r w:rsidRPr="00E91078">
        <w:t>ysokość stołu regulowana poprzez ręczny przełącznik gazowy umieszczony w nodze stołu. Przełącznik ma być wyposażony w system chroniący przed niezamierzoną zmianą wysokości stołu</w:t>
      </w:r>
      <w:r>
        <w:t xml:space="preserve"> w jadalni, gdyż zestawione łącznie ww. wymagania wskazują na wyposażenie niemieckiej firmy </w:t>
      </w:r>
      <w:r w:rsidRPr="00A360E1">
        <w:t xml:space="preserve">VS </w:t>
      </w:r>
      <w:proofErr w:type="spellStart"/>
      <w:r w:rsidRPr="00A360E1">
        <w:t>Vereinigte</w:t>
      </w:r>
      <w:proofErr w:type="spellEnd"/>
      <w:r w:rsidRPr="00A360E1">
        <w:t xml:space="preserve"> </w:t>
      </w:r>
      <w:proofErr w:type="spellStart"/>
      <w:r w:rsidRPr="00A360E1">
        <w:t>Spezialmöbelfabriken</w:t>
      </w:r>
      <w:proofErr w:type="spellEnd"/>
      <w:r w:rsidRPr="00A360E1">
        <w:t xml:space="preserve"> GmbH &amp; Co. KG</w:t>
      </w:r>
      <w:r>
        <w:t xml:space="preserve">. Jednocześnie zwracam uwagę, iż stół z takim </w:t>
      </w:r>
      <w:r w:rsidRPr="007901EC">
        <w:t>rodzaj</w:t>
      </w:r>
      <w:r>
        <w:t>em</w:t>
      </w:r>
      <w:r w:rsidRPr="007901EC">
        <w:t xml:space="preserve"> regulacji nie </w:t>
      </w:r>
      <w:r>
        <w:t>otrzyma certyfikatu, gdyż nie będzie on zgodny z obowiązującymi Polskimi Normami, o których mowa poniżej.</w:t>
      </w:r>
    </w:p>
    <w:p w:rsidR="00504E58" w:rsidRDefault="00504E58" w:rsidP="00C10187">
      <w:pPr>
        <w:jc w:val="both"/>
      </w:pPr>
      <w:r>
        <w:t>Proszę o usunięcie w/w zapisów.</w:t>
      </w:r>
    </w:p>
    <w:p w:rsidR="00504E58" w:rsidRDefault="00504E58" w:rsidP="00C10187">
      <w:pPr>
        <w:jc w:val="both"/>
      </w:pPr>
      <w:r>
        <w:t xml:space="preserve">Zwracam uwagę, iż wprawdzie zamawiający ma możliwość precyzowania przedmiotu zamówienia </w:t>
      </w:r>
      <w:r>
        <w:br/>
        <w:t xml:space="preserve">w sposób chroniący jego zobiektywizowany interes, jednak przede wszystkim ma obowiązek przy dokonywaniu opisu przedmiotu zamówienia uwzględnić generalne warunki, jakie nakłada na niego ustawa </w:t>
      </w:r>
      <w:proofErr w:type="spellStart"/>
      <w:r>
        <w:t>Pzp</w:t>
      </w:r>
      <w:proofErr w:type="spellEnd"/>
      <w:r>
        <w:t xml:space="preserve">.  Zgodnie z art. 29 ust. 2 ustawy Prawo zamówień publicznych przedmiotu zamówienia nie można opisywać w sposób, który mógłby utrudniać uczciwą konkurencję. Wskazany przepis służy realizacji ustawowej zasady uczciwej konkurencji (a w konsekwencji – m. in. zasady równego dostępu do zamówienia), wyrażonej w art. 7 ust. 1 ustawy </w:t>
      </w:r>
      <w:proofErr w:type="spellStart"/>
      <w:r>
        <w:t>Pzp</w:t>
      </w:r>
      <w:proofErr w:type="spellEnd"/>
      <w:r>
        <w:t xml:space="preserve">. Naruszenie zasady wynikającej z art. 29 ust. 2 ustawy </w:t>
      </w:r>
      <w:proofErr w:type="spellStart"/>
      <w:r>
        <w:t>Pzp</w:t>
      </w:r>
      <w:proofErr w:type="spellEnd"/>
      <w:r>
        <w:t xml:space="preserve"> może mieć charakter bezpośredni (jeśli zamawiający wprost stosuje nazwy własne wskazujące konkretnego wykonawcę lub produkt) lub pośredni (jeśli nazwy własne nie zostają wskazane, ale szczegółowy opis parametrów wskazuje na jeden konkretny produkt). </w:t>
      </w:r>
    </w:p>
    <w:p w:rsidR="00504E58" w:rsidRDefault="00504E58" w:rsidP="00C10187">
      <w:pPr>
        <w:jc w:val="both"/>
      </w:pPr>
      <w:r>
        <w:t>W niniejszym Postępowaniu mamy do czynienia z tą drugą sytuacją, gdyż łączne użycie w opisie przedmiotu zamówienia wymogów oraz parametrów technicznych (np. grubość płyty wiórowej, regulacja za pomocą śruby z łbem sześciokątnym, budowa podstawy ławki), zawęża wybór zamawiającego do konkretnej marki i modelu.</w:t>
      </w:r>
    </w:p>
    <w:p w:rsidR="00504E58" w:rsidRDefault="00504E58" w:rsidP="00C10187">
      <w:pPr>
        <w:jc w:val="both"/>
      </w:pPr>
      <w:r>
        <w:t xml:space="preserve">Jako załącznik przekładamy wydruki PDF wyposażenia firmy VS </w:t>
      </w:r>
      <w:proofErr w:type="spellStart"/>
      <w:r>
        <w:t>Vereinigte</w:t>
      </w:r>
      <w:proofErr w:type="spellEnd"/>
      <w:r>
        <w:t xml:space="preserve"> </w:t>
      </w:r>
      <w:proofErr w:type="spellStart"/>
      <w:r>
        <w:t>Spezialmöbelfabriken</w:t>
      </w:r>
      <w:proofErr w:type="spellEnd"/>
      <w:r>
        <w:t xml:space="preserve"> GmbH &amp; Co. KG, o której tu mowa, dotyczące całości wymienionego wyposażenia w opisie przedmiotu zamówienia.</w:t>
      </w:r>
    </w:p>
    <w:p w:rsidR="00504E58" w:rsidRDefault="00504E58" w:rsidP="00C10187">
      <w:pPr>
        <w:jc w:val="both"/>
      </w:pPr>
      <w:r>
        <w:t xml:space="preserve">Działaniem wbrew zasadzie uczciwej konkurencji jest także zbyt rygorystyczne określenie wymagań co do przedmiotu zamówienia, które nie są uzasadnione, a jednocześnie ograniczają krąg wykonawców zdolnych do wykonania zamówienia. Bowiem naruszeniem zasady uczciwej konkurencji jest nie tylko opis przedmiotu zamówienia wskazujący na jeden konkretny produkt lub </w:t>
      </w:r>
      <w:r>
        <w:lastRenderedPageBreak/>
        <w:t xml:space="preserve">wykonawcę, ale także taki opis, który umożliwia dostęp do zamówienia kilku wykonawcom, jednocześnie uniemożliwiając go </w:t>
      </w:r>
      <w:r>
        <w:br/>
        <w:t>w sposób nieuzasadniony innym, którzy również byliby w stanie wykonać dane zamówienie.</w:t>
      </w:r>
    </w:p>
    <w:p w:rsidR="00504E58" w:rsidRDefault="00504E58" w:rsidP="00C10187">
      <w:pPr>
        <w:jc w:val="both"/>
      </w:pPr>
      <w:r>
        <w:t>Prezes Urzędu Zamówień Publicznych w licznych wynikach kontroli, a także KIO w uchwałach dotyczących zastrzeżeń od wyników kontroli Prezesa UZP oraz w wyrokach, wielokrotnie wypowiadali się w przedmiocie niedopuszczalności dyskryminacji pośredniej oraz zbyt rygorystycznego opisywania przedmiotu zamówienia – np. KN/3/9; KND/46/11; KN/91/08; KN/79/09;  UZP/DKUE/KD/16/2015, KIO 1534/18.</w:t>
      </w:r>
    </w:p>
    <w:p w:rsidR="00504E58" w:rsidRDefault="00504E58" w:rsidP="00C10187">
      <w:pPr>
        <w:jc w:val="both"/>
      </w:pPr>
    </w:p>
    <w:p w:rsidR="00504E58" w:rsidRDefault="00504E58" w:rsidP="00C10187">
      <w:pPr>
        <w:jc w:val="both"/>
      </w:pPr>
      <w:r>
        <w:t xml:space="preserve">Należy też zwrócić uwagę, że niewystarczającym jest wskazanie, że zamawiający dopuszcza rozwiązania równoważne, tzn. o parametrach nie gorszych niż wskazane. Konieczność aby wszystkie bez wyjątku parametry techniczne były równe lub lepsze jest niewykonalne i wymusza na wykonawcach obowiązek zaoferowania wyłącznie rozwiązania referencyjnego, czyniąc dopuszczenie takiej równoważności pozornym.  </w:t>
      </w:r>
    </w:p>
    <w:p w:rsidR="00504E58" w:rsidRDefault="00504E58" w:rsidP="00C10187">
      <w:pPr>
        <w:jc w:val="both"/>
      </w:pPr>
      <w:r>
        <w:t xml:space="preserve">W wyroku  z dnia 12 maja 2017, </w:t>
      </w:r>
      <w:proofErr w:type="spellStart"/>
      <w:r>
        <w:t>sygn</w:t>
      </w:r>
      <w:proofErr w:type="spellEnd"/>
      <w:r>
        <w:t xml:space="preserve"> KIO 789/17, Izba stwierdza: „(…) nie jest wystarczające wskazanie urządzenia danego producenta z określeniem "lub równoważne", lecz należy dokładnie określić, co zamawiający uznaje za rozwiązanie równoważne. Niezbędne jest zatem wskazanie takich kryteriów równoważności, dzięki którym wykonawca i zamawiający w oparciu o metodę zerojedynkową będą </w:t>
      </w:r>
      <w:r>
        <w:br/>
        <w:t xml:space="preserve">w stanie ocenić, czy dane rozwiązanie spełnia istotne parametry wymagane przez zamawiającego </w:t>
      </w:r>
      <w:r>
        <w:br/>
        <w:t xml:space="preserve">i w konsekwencji stwierdzić, czy nosi przymiot urządzenia równoważnego. Ponadto, uznaje się, że jeżeli zamawiający wprawdzie dopuszcza urządzenia równoważne, niemniej takie, które jest całkowicie zgodne pod względem wszystkich parametrów i funkcjonalności z urządzeniem określonego producenta lub określonego modelu, to mamy do czynienia jedynie z równoważnością iluzoryczną, pozorną - takie zaś rozwiązanie jest na gruncie przepisów </w:t>
      </w:r>
      <w:proofErr w:type="spellStart"/>
      <w:r>
        <w:t>p.z.p</w:t>
      </w:r>
      <w:proofErr w:type="spellEnd"/>
      <w:r>
        <w:t xml:space="preserve">. niedopuszczalne.” </w:t>
      </w:r>
    </w:p>
    <w:p w:rsidR="00504E58" w:rsidRDefault="00504E58" w:rsidP="00C10187">
      <w:pPr>
        <w:jc w:val="both"/>
      </w:pPr>
      <w:r>
        <w:t>Zgodnie z wyrokiem KIO 1431/17 z dnia 31.07.2017 r. „Dopuszczenie rozwiązań równoważnych nie może być sprowadzone do fikcji polegającej na tym, że formułowane są takie dodatkowe, specyficzne i daleko idące wymogi co do rozwiązań równoważnych, które są praktycznie niemożliwe do zrealizowania prowadząc do sytuacji, w której de facto można zaoferować wyłącznie rozwiązanie referencyjne.”</w:t>
      </w:r>
    </w:p>
    <w:p w:rsidR="00504E58" w:rsidRDefault="00504E58" w:rsidP="00C10187">
      <w:pPr>
        <w:jc w:val="both"/>
      </w:pPr>
      <w:r>
        <w:t>W związku z powyższym wnoszę o zmianę powyższych zapisów.</w:t>
      </w:r>
    </w:p>
    <w:p w:rsidR="00504E58" w:rsidRDefault="00504E58" w:rsidP="00C10187">
      <w:pPr>
        <w:jc w:val="both"/>
      </w:pPr>
    </w:p>
    <w:p w:rsidR="00504E58" w:rsidRDefault="00504E58" w:rsidP="00C10187">
      <w:pPr>
        <w:jc w:val="both"/>
      </w:pPr>
      <w:r>
        <w:t>3.</w:t>
      </w:r>
      <w:r>
        <w:tab/>
        <w:t>Wnoszę o usunięcie zapisów z załącznika nr 3 do SIWZ tj.</w:t>
      </w:r>
    </w:p>
    <w:p w:rsidR="00504E58" w:rsidRDefault="00504E58" w:rsidP="00C10187">
      <w:pPr>
        <w:jc w:val="both"/>
      </w:pPr>
      <w:r>
        <w:t>a) „ spełnia wymagania poziomu 3 “</w:t>
      </w:r>
      <w:proofErr w:type="spellStart"/>
      <w:r>
        <w:t>levelTM</w:t>
      </w:r>
      <w:proofErr w:type="spellEnd"/>
      <w:r>
        <w:t xml:space="preserve"> 3 – </w:t>
      </w:r>
      <w:proofErr w:type="spellStart"/>
      <w:r>
        <w:t>Platin</w:t>
      </w:r>
      <w:proofErr w:type="spellEnd"/>
      <w:r>
        <w:t>” BIFMA e3-2012 (zrównoważony rozwój)” oraz  „ ma być certyfikowany pod kątem niskiej emisji chemikaliów zgodnie z UL 2818-2013 dla materiałów budowlanych, wykończeniowych i mebli lub równoważnym”</w:t>
      </w:r>
    </w:p>
    <w:p w:rsidR="00504E58" w:rsidRDefault="00504E58" w:rsidP="00C10187">
      <w:pPr>
        <w:jc w:val="both"/>
      </w:pPr>
      <w:r>
        <w:t xml:space="preserve">b) „posiada certyfikat bezpieczeństwa TUV” </w:t>
      </w:r>
    </w:p>
    <w:p w:rsidR="00504E58" w:rsidRDefault="00504E58" w:rsidP="00C10187">
      <w:pPr>
        <w:jc w:val="both"/>
      </w:pPr>
      <w:r>
        <w:t>c) „</w:t>
      </w:r>
      <w:r w:rsidRPr="00CF3881">
        <w:t>Pianka musi spełniać wymogi palności normy MVSS 302</w:t>
      </w:r>
      <w:r>
        <w:t>”</w:t>
      </w:r>
    </w:p>
    <w:p w:rsidR="00504E58" w:rsidRDefault="00504E58" w:rsidP="00C10187">
      <w:pPr>
        <w:jc w:val="both"/>
      </w:pPr>
      <w:r>
        <w:t xml:space="preserve"> </w:t>
      </w:r>
    </w:p>
    <w:p w:rsidR="00504E58" w:rsidRDefault="00504E58" w:rsidP="00C10187">
      <w:pPr>
        <w:jc w:val="both"/>
      </w:pPr>
      <w:r>
        <w:t>Ad. a)</w:t>
      </w:r>
    </w:p>
    <w:p w:rsidR="00504E58" w:rsidRDefault="00504E58" w:rsidP="00C10187">
      <w:pPr>
        <w:jc w:val="both"/>
      </w:pPr>
      <w:r>
        <w:t>Zamawiający wskazuje poprzez zapis: „spełnia wymagania poziomu 3 “</w:t>
      </w:r>
      <w:proofErr w:type="spellStart"/>
      <w:r>
        <w:t>levelTM</w:t>
      </w:r>
      <w:proofErr w:type="spellEnd"/>
      <w:r>
        <w:t xml:space="preserve"> 3 – </w:t>
      </w:r>
      <w:proofErr w:type="spellStart"/>
      <w:r>
        <w:t>Platin</w:t>
      </w:r>
      <w:proofErr w:type="spellEnd"/>
      <w:r>
        <w:t xml:space="preserve">” BIFMA </w:t>
      </w:r>
      <w:r>
        <w:br/>
        <w:t>e3-2012 (zrównoważony rozwój)” na normę niemiecką i wytyczne przez niemieckie jednostki certyfikujące.</w:t>
      </w:r>
    </w:p>
    <w:p w:rsidR="00504E58" w:rsidRDefault="00504E58" w:rsidP="00C10187">
      <w:pPr>
        <w:jc w:val="both"/>
      </w:pPr>
      <w:r>
        <w:t>https://www.interstuhl.com/I/uk-en/bifma-level-3.php</w:t>
      </w:r>
    </w:p>
    <w:p w:rsidR="00504E58" w:rsidRDefault="00504E58" w:rsidP="00C10187">
      <w:pPr>
        <w:jc w:val="both"/>
      </w:pPr>
      <w:r>
        <w:t>Jak również  zapis: „ma być certyfikowany pod kątem niskiej emisji chemikaliów zgodnie z UL 2818-2013 dla materiałów budowlanych, wykończeniowych i mebli lub równoważnym”</w:t>
      </w:r>
    </w:p>
    <w:p w:rsidR="00504E58" w:rsidRDefault="00504E58" w:rsidP="00C10187">
      <w:pPr>
        <w:jc w:val="both"/>
      </w:pPr>
      <w:r>
        <w:lastRenderedPageBreak/>
        <w:t>https://standardscatalog.ul.com/standards/en/standard_2818_1 , nie odnosi się do polskiej normy.</w:t>
      </w:r>
    </w:p>
    <w:p w:rsidR="00504E58" w:rsidRDefault="00504E58" w:rsidP="00C10187">
      <w:pPr>
        <w:jc w:val="both"/>
      </w:pPr>
      <w:r>
        <w:t xml:space="preserve"> </w:t>
      </w:r>
    </w:p>
    <w:p w:rsidR="00504E58" w:rsidRDefault="00504E58" w:rsidP="00C10187">
      <w:pPr>
        <w:jc w:val="both"/>
      </w:pPr>
      <w:r>
        <w:t xml:space="preserve">Art. 30 ust. 2 ustawy </w:t>
      </w:r>
      <w:proofErr w:type="spellStart"/>
      <w:r>
        <w:t>Pzp</w:t>
      </w:r>
      <w:proofErr w:type="spellEnd"/>
      <w:r>
        <w:t xml:space="preserve">, określa zasady opisywania przedmiotu zamówienia poprzez odniesienie do norm i standardów. Z przepisu tego wynika obowiązek Zamawiającego stosowania w pierwszej kolejności Polskich Norm przenoszących normy europejskie. Dalszą kolejność wprost wyznacza art. 30 ust. 2 ustawy </w:t>
      </w:r>
      <w:proofErr w:type="spellStart"/>
      <w:r>
        <w:t>Pzp</w:t>
      </w:r>
      <w:proofErr w:type="spellEnd"/>
      <w:r>
        <w:t>.</w:t>
      </w:r>
    </w:p>
    <w:p w:rsidR="00504E58" w:rsidRDefault="00504E58" w:rsidP="00C10187">
      <w:pPr>
        <w:jc w:val="both"/>
      </w:pPr>
      <w:r>
        <w:t xml:space="preserve">Zamawiający zaś posłużył się normami, które nie wynikają z art. 30 ust 2 ustawy </w:t>
      </w:r>
      <w:proofErr w:type="spellStart"/>
      <w:r>
        <w:t>Pzp</w:t>
      </w:r>
      <w:proofErr w:type="spellEnd"/>
      <w:r>
        <w:t xml:space="preserve">, naruszając tym samym ten przepis. </w:t>
      </w:r>
    </w:p>
    <w:p w:rsidR="00504E58" w:rsidRDefault="00504E58" w:rsidP="00C10187">
      <w:pPr>
        <w:jc w:val="both"/>
      </w:pPr>
      <w:r>
        <w:t>Regulacje prawne dotyczące wymogu posiadania certyfikatów na meble szkolne wynikają z Polskich zapisów rozporządzenia Ministra Edukacji Narodowej i Sportu z dnia 31 grudnia 2002r. w sprawie bezpieczeństwa i higieny w publicznych i niepublicznych szkołach i placówkach oraz rozporządzenie Ministra Edukacji Narodowej z dnia 31 października 2018, zmieniające rozporządzenie w sprawie bezpieczeństwa i higieny w publicznych i niepublicznych szkołach i placówkach . Zgodnie z nimi:</w:t>
      </w:r>
    </w:p>
    <w:p w:rsidR="00504E58" w:rsidRDefault="00504E58" w:rsidP="00C10187">
      <w:pPr>
        <w:jc w:val="both"/>
      </w:pPr>
      <w:r>
        <w:t>- sprzęty, z których korzystają osoby pozostające pod opieką szkoły lub placówki, dostosowuje się do wymagań ergonomii,</w:t>
      </w:r>
    </w:p>
    <w:p w:rsidR="00504E58" w:rsidRDefault="00504E58" w:rsidP="00C10187">
      <w:pPr>
        <w:jc w:val="both"/>
      </w:pPr>
      <w:r>
        <w:t>- szkoły i placówki nabywają wyposażenie posiadające odpowiednie atesty lub certyfikaty.</w:t>
      </w:r>
    </w:p>
    <w:p w:rsidR="00504E58" w:rsidRDefault="00504E58" w:rsidP="00C10187">
      <w:pPr>
        <w:jc w:val="both"/>
      </w:pPr>
      <w:r>
        <w:t>Do wyposażenia objętego powyższym wymogiem należą:</w:t>
      </w:r>
    </w:p>
    <w:p w:rsidR="00504E58" w:rsidRDefault="00504E58" w:rsidP="00C10187">
      <w:pPr>
        <w:jc w:val="both"/>
      </w:pPr>
      <w:r>
        <w:t>- meble szkolne i przedszkolne, zarówno szkieletowe (krzesła, ławki, stoliki, biurka, itp.) jak i skrzyniowe (regały, szafy, biblioteki, itp.), przeznaczone do wszystkich dydaktycznych pomieszczeń użytkowanych przez dzieci i młodzież,</w:t>
      </w:r>
    </w:p>
    <w:p w:rsidR="00504E58" w:rsidRDefault="00504E58" w:rsidP="00C10187">
      <w:pPr>
        <w:jc w:val="both"/>
      </w:pPr>
      <w:r>
        <w:t>- sprzęt szkolny, taki jak: tablice szkolne, gabloty, wieszaki,</w:t>
      </w:r>
    </w:p>
    <w:p w:rsidR="00504E58" w:rsidRDefault="00504E58" w:rsidP="00C10187">
      <w:pPr>
        <w:jc w:val="both"/>
      </w:pPr>
      <w:r>
        <w:t xml:space="preserve">- urządzenia sportowe stanowiące wyposażenie </w:t>
      </w:r>
      <w:proofErr w:type="spellStart"/>
      <w:r>
        <w:t>sal</w:t>
      </w:r>
      <w:proofErr w:type="spellEnd"/>
      <w:r>
        <w:t xml:space="preserve"> gimnastycznych, boisk sportowych, takie jak: drabinki, kozły, konie, skrzynie, bramki do piłki nożnej i ręcznej, sprzęt do siatkówki, koszykówki,</w:t>
      </w:r>
    </w:p>
    <w:p w:rsidR="00504E58" w:rsidRDefault="00504E58" w:rsidP="00C10187">
      <w:pPr>
        <w:jc w:val="both"/>
      </w:pPr>
      <w:r>
        <w:t>- urządzenia stanowiące wyposażenie placów zabaw, takie jak: huśtawki, wieże, zjeżdżalnie, kolejki linowe, karuzele, urządzenia kołyszące, ściany wspinaczkowe, piaskownice.</w:t>
      </w:r>
    </w:p>
    <w:p w:rsidR="00504E58" w:rsidRDefault="00504E58" w:rsidP="00C10187">
      <w:pPr>
        <w:jc w:val="both"/>
      </w:pPr>
      <w:r>
        <w:t>Powyższy wymóg wynika z konieczności zapewnienia bezpieczeństwa dzieciom i młodzieży w szkołach, przedszkolach, na placach zabaw, w ogródkach jordanowskich, na boiskach szkolnych oraz salach sportowych czy gimnastycznych. Oznacza to również obowiązek żądania, przez szkolę,  czy placówkę otrzymania potwierdzenia - od producenta lub dostawcy, że meble i sprzęt są bezpieczne, dobrej jakości i odpowiadają wymaganiom norm, czyli dostarczenia certyfikatu zgodności wyrobu z normami.</w:t>
      </w:r>
    </w:p>
    <w:p w:rsidR="00504E58" w:rsidRDefault="00504E58" w:rsidP="00C10187">
      <w:pPr>
        <w:jc w:val="both"/>
      </w:pPr>
      <w:r>
        <w:t>Przykładowe Polskie Normy, które powinny spełniać meble i sprzęt szkolny, to m.in.:</w:t>
      </w:r>
    </w:p>
    <w:p w:rsidR="00504E58" w:rsidRDefault="00504E58" w:rsidP="00C10187">
      <w:pPr>
        <w:jc w:val="both"/>
      </w:pPr>
      <w:r>
        <w:t>PN-EN 1729-1:2007 „Meble. Krzesła i stoły dla instytucji edukacyjnych Część 1: Wymiary funkcjonalne”.</w:t>
      </w:r>
    </w:p>
    <w:p w:rsidR="00504E58" w:rsidRDefault="00504E58" w:rsidP="00C10187">
      <w:pPr>
        <w:jc w:val="both"/>
      </w:pPr>
      <w:r>
        <w:t>PN-EN 1729-2:2012 „Meble. Krzesła i stoły dla instytucji edukacyjnych Część 2: Wymagania bezpieczeństwa i metody badań”</w:t>
      </w:r>
    </w:p>
    <w:p w:rsidR="00504E58" w:rsidRDefault="00504E58" w:rsidP="00C10187">
      <w:pPr>
        <w:jc w:val="both"/>
      </w:pPr>
    </w:p>
    <w:p w:rsidR="00504E58" w:rsidRDefault="00504E58" w:rsidP="00C10187">
      <w:pPr>
        <w:jc w:val="both"/>
      </w:pPr>
      <w:r>
        <w:t xml:space="preserve">Mając na uwadze powyższe wykazuję, że wymaganie w opisie przedmiotu zamówienia dotyczące określonych certyfikatów, których posiadanie nie jest niezbędne dla prawidłowego wykonania zamówienia lub które w ogóle nie obowiązują na terenie Polski stanowi także naruszenia art. 29 ust. 2 ustawy </w:t>
      </w:r>
      <w:proofErr w:type="spellStart"/>
      <w:r>
        <w:t>Pzp</w:t>
      </w:r>
      <w:proofErr w:type="spellEnd"/>
      <w:r>
        <w:t xml:space="preserve"> (UZP/DKUE/KD/16/2015).  </w:t>
      </w:r>
    </w:p>
    <w:p w:rsidR="00504E58" w:rsidRDefault="00504E58" w:rsidP="00C10187">
      <w:pPr>
        <w:jc w:val="both"/>
      </w:pPr>
      <w:r>
        <w:t>W związku z powyższym proszę o zmianę zapisów na odpowiednio Polskie Normy, które obowiązują na terenie Polski.</w:t>
      </w:r>
    </w:p>
    <w:p w:rsidR="00504E58" w:rsidRDefault="00504E58" w:rsidP="00C10187">
      <w:pPr>
        <w:jc w:val="both"/>
      </w:pPr>
      <w:r>
        <w:t xml:space="preserve">Ad. b) </w:t>
      </w:r>
    </w:p>
    <w:p w:rsidR="00504E58" w:rsidRDefault="00504E58" w:rsidP="00C10187">
      <w:pPr>
        <w:jc w:val="both"/>
      </w:pPr>
      <w:r>
        <w:lastRenderedPageBreak/>
        <w:t xml:space="preserve">Zamawiający może zażądać by przedmiot zamówienia spełniał określone normy jakościowe czy funkcjonalne, może też żądać by wykonawca charakteryzował się posiadaniem zaświadczeń/certyfikatów potwierdzających zgodność działań wykonawcy z określonymi normami, jednakże nie może  wymagać, by badanie pod kątem spełniania tych norm było wykonane przez konkretny podmiot certyfikujący. </w:t>
      </w:r>
    </w:p>
    <w:p w:rsidR="00504E58" w:rsidRDefault="00504E58" w:rsidP="00C10187">
      <w:pPr>
        <w:jc w:val="both"/>
      </w:pPr>
      <w:r>
        <w:t xml:space="preserve">Stąd zapis - „posiada certyfikat bezpieczeństwa TUV” wskazujący na certyfikat wydawany przez konkretny podmiot  (jak się wydaje TÜV </w:t>
      </w:r>
      <w:proofErr w:type="spellStart"/>
      <w:r>
        <w:t>Rheinland</w:t>
      </w:r>
      <w:proofErr w:type="spellEnd"/>
      <w:r>
        <w:t xml:space="preserve">) narusza zasady ustawy </w:t>
      </w:r>
      <w:proofErr w:type="spellStart"/>
      <w:r>
        <w:t>Pzp</w:t>
      </w:r>
      <w:proofErr w:type="spellEnd"/>
      <w:r>
        <w:t>, art. 7 ust. 1 nakładające na zamawiającego obowiązek przygotowania i przeprowadzenia postępowania o udzielenie zamówienia publicznego w sposób zapewniający zachowanie uczciwej konkurencji oraz równe traktowanie wykonawców i nieuprawnione uprzywilejowanie tylko niektórych jednostek. Potwierdza to wyrok Zespołu Arbitrów z dnia 26 października 2006 r. sygn.. UZP/ZO/0-2677/06 oraz wyrok z dnia 29 maja 2006 r. sygn.. UZP/ZO/0-1491/06- „Zaświadczenie podmiotu uprawnionego do kontroli jakości, to zaświadczenie podmiotu zewnętrznego, niezależnego, to zaświadczenie wydawane przed podmiot trzeci uprawniony do kontroli jakości oferowanego wyrobu będącego przedmiotem dostaw”</w:t>
      </w:r>
    </w:p>
    <w:p w:rsidR="00504E58" w:rsidRDefault="00504E58" w:rsidP="00C10187">
      <w:pPr>
        <w:jc w:val="both"/>
      </w:pPr>
      <w:r>
        <w:t>Ad. c)  FMVSS 302 określa wymagania dotyczące odporności na oparzenia dla materiałów stosowanych w pojazdach silnikowych (tj. Samochodów osobowych, wielozadaniowych pojazdów osobowych, ciężarówek i autobusów). Ma to na celu zmniejszenie liczby ofiar śmiertelnych i obrażeń ciała u pasażerów pojazdów mechanicznych, spowodowanych pożarami pojazdów, zwłaszcza w pojazdach pochodzących ze źródeł lub papierosów.</w:t>
      </w:r>
    </w:p>
    <w:p w:rsidR="00504E58" w:rsidRDefault="00504E58" w:rsidP="00C10187">
      <w:pPr>
        <w:jc w:val="both"/>
      </w:pPr>
      <w:r>
        <w:t>W związku z powyższym powołanie się na daną normę nie jest adekwatne do przedmiotu zamówienia oraz nie ma równoważnych norm, które można dostosować do mebli.</w:t>
      </w:r>
    </w:p>
    <w:p w:rsidR="00504E58" w:rsidRDefault="00504E58" w:rsidP="00C10187">
      <w:pPr>
        <w:jc w:val="both"/>
      </w:pPr>
      <w:r>
        <w:t xml:space="preserve">Z uwagi na powyższe wnoszę jak w treści oraz wnoszę o zmianę terminu składania ofert do 07.06.2019r., tj. o czas niezbędny do przygotowania wzorów asortymentu meblowego, który będzie podlegał ocenie przez członków komisji przetargowej. </w:t>
      </w:r>
    </w:p>
    <w:p w:rsidR="00504E58" w:rsidRDefault="00504E58" w:rsidP="00C10187">
      <w:pPr>
        <w:jc w:val="both"/>
      </w:pPr>
    </w:p>
    <w:p w:rsidR="00504E58" w:rsidRDefault="00504E58" w:rsidP="00C10187">
      <w:pPr>
        <w:jc w:val="both"/>
      </w:pPr>
      <w:r>
        <w:t>Załączniki:</w:t>
      </w:r>
    </w:p>
    <w:p w:rsidR="00504E58" w:rsidRDefault="00504E58" w:rsidP="00C10187">
      <w:pPr>
        <w:jc w:val="both"/>
      </w:pPr>
      <w:r w:rsidRPr="006D5C11">
        <w:t>Załącznik nr 1-</w:t>
      </w:r>
      <w:r>
        <w:t xml:space="preserve"> </w:t>
      </w:r>
      <w:r w:rsidRPr="006D5C11">
        <w:t>Krzesła szkolne</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2 - Stołek z regulowaną wysokością</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3 - fotel obrotowy półokrągły - fotel okrągły</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4 - kanapa tapicerowana - kanapa sofa</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5 - Stolik okrągły kawowy</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6 - krzesło tapicerowane obrotowe z podłokietnikiem</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 xml:space="preserve">Załącznik nr 7 </w:t>
      </w:r>
      <w:r>
        <w:t>–</w:t>
      </w:r>
      <w:r w:rsidRPr="006D5C11">
        <w:t xml:space="preserve"> Stół</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8 - Biurko z trzema szufladami</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9 - St</w:t>
      </w:r>
      <w:r>
        <w:t>ó</w:t>
      </w:r>
      <w:r w:rsidRPr="006D5C11">
        <w:t>ł do jadalni</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10 - stół uczniowski</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lastRenderedPageBreak/>
        <w:t>Załącznik nr 11 - siedzisko zakrzywione, proste</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12 - ławka uczniowska - mobilna prawa,</w:t>
      </w:r>
      <w:r>
        <w:t xml:space="preserve"> </w:t>
      </w:r>
      <w:r w:rsidRPr="006D5C11">
        <w:t>lewa</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13 - biurko, biurko nauczycielskie</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14 - regał biblioteczny w kształcie łuku</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15 - szafka dwudrzwiowa</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43474F">
        <w:t>Załącznik nr 16 - Krzesło uczniowskie z pulpitem</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6D5C11">
        <w:t>Załącznik nr 1</w:t>
      </w:r>
      <w:r>
        <w:t>7</w:t>
      </w:r>
      <w:r w:rsidRPr="006D5C11">
        <w:t xml:space="preserve"> - szafka pojedyncza</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43474F">
        <w:t>Załącznik nr 18 - szafa drzwi przesuwne</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43474F">
        <w:t>Załącznik nr 19 - regał na książki</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43474F">
        <w:t>Załącznik nr 20 - szafka dla nauczycieli</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rsidRPr="0043474F">
        <w:t>Załącznik nr 21 - szafka podwójna na klucz</w:t>
      </w:r>
      <w:r>
        <w:t xml:space="preserve">, wydruk PDF ze strony internetowej firmy </w:t>
      </w:r>
      <w:r w:rsidRPr="00C87E90">
        <w:t xml:space="preserve">VS </w:t>
      </w:r>
      <w:proofErr w:type="spellStart"/>
      <w:r w:rsidRPr="00C87E90">
        <w:t>Vereinigte</w:t>
      </w:r>
      <w:proofErr w:type="spellEnd"/>
      <w:r w:rsidRPr="00C87E90">
        <w:t xml:space="preserve"> </w:t>
      </w:r>
      <w:proofErr w:type="spellStart"/>
      <w:r w:rsidRPr="00C87E90">
        <w:t>Spezialmöbelfabriken</w:t>
      </w:r>
      <w:proofErr w:type="spellEnd"/>
      <w:r w:rsidRPr="00C87E90">
        <w:t xml:space="preserve"> GmbH &amp; Co. KG</w:t>
      </w:r>
    </w:p>
    <w:p w:rsidR="00504E58" w:rsidRDefault="00504E58" w:rsidP="00C10187">
      <w:pPr>
        <w:jc w:val="both"/>
      </w:pPr>
      <w:r>
        <w:t>Załącznik nr 22 – formularz cenowy z przypisanymi dla każdej pozycji powyższych załączników nr 1-21 niniejszego pisma.</w:t>
      </w:r>
    </w:p>
    <w:p w:rsidR="00504E58" w:rsidRDefault="00504E58" w:rsidP="002609BA"/>
    <w:p w:rsidR="00504E58" w:rsidRDefault="00504E58" w:rsidP="002609BA">
      <w:pPr>
        <w:rPr>
          <w:rFonts w:ascii="Times New Roman" w:hAnsi="Times New Roman"/>
          <w:b/>
        </w:rPr>
      </w:pPr>
      <w:r w:rsidRPr="00774856">
        <w:rPr>
          <w:rFonts w:ascii="Times New Roman" w:hAnsi="Times New Roman"/>
          <w:b/>
        </w:rPr>
        <w:t>Wyjaśnienie Zamawiającego</w:t>
      </w:r>
      <w:r>
        <w:rPr>
          <w:rFonts w:ascii="Times New Roman" w:hAnsi="Times New Roman"/>
          <w:b/>
        </w:rPr>
        <w:t>:</w:t>
      </w:r>
    </w:p>
    <w:p w:rsidR="00504E58" w:rsidRDefault="00504E58" w:rsidP="002609BA">
      <w:pPr>
        <w:rPr>
          <w:rFonts w:ascii="Times New Roman" w:hAnsi="Times New Roman"/>
        </w:rPr>
      </w:pPr>
    </w:p>
    <w:p w:rsidR="00504E58" w:rsidRPr="00F9297D" w:rsidRDefault="00504E58" w:rsidP="00F9297D">
      <w:pPr>
        <w:pStyle w:val="Akapitzlist"/>
        <w:numPr>
          <w:ilvl w:val="0"/>
          <w:numId w:val="11"/>
        </w:numPr>
        <w:autoSpaceDE/>
        <w:autoSpaceDN/>
        <w:adjustRightInd/>
        <w:spacing w:line="360" w:lineRule="auto"/>
        <w:jc w:val="both"/>
        <w:rPr>
          <w:rFonts w:ascii="Times New Roman" w:hAnsi="Times New Roman"/>
          <w:color w:val="000000"/>
        </w:rPr>
      </w:pPr>
      <w:r>
        <w:rPr>
          <w:rFonts w:ascii="Times New Roman" w:hAnsi="Times New Roman"/>
        </w:rPr>
        <w:t>Punkt</w:t>
      </w:r>
      <w:r w:rsidRPr="00774856">
        <w:rPr>
          <w:rFonts w:ascii="Times New Roman" w:hAnsi="Times New Roman"/>
        </w:rPr>
        <w:t xml:space="preserve"> 1. </w:t>
      </w:r>
      <w:r>
        <w:rPr>
          <w:rFonts w:ascii="Times New Roman" w:hAnsi="Times New Roman"/>
        </w:rPr>
        <w:t xml:space="preserve">Zamawiający dopuszcza kolorystykę zapewniającą preferowane odcienie zieleni, błękitu i szarości. </w:t>
      </w:r>
      <w:r>
        <w:rPr>
          <w:rFonts w:ascii="Times New Roman" w:hAnsi="Times New Roman"/>
          <w:lang w:eastAsia="pl-PL"/>
        </w:rPr>
        <w:t xml:space="preserve">W SIWZ w Rozdziale 3 Przedmiot zamówienia, w punkcie 3.7 zawarte zostały warunki dotyczące kolorystyki mebli. </w:t>
      </w:r>
      <w:r w:rsidR="003F0A7C">
        <w:rPr>
          <w:rFonts w:ascii="Times New Roman" w:hAnsi="Times New Roman"/>
          <w:lang w:eastAsia="pl-PL"/>
        </w:rPr>
        <w:t xml:space="preserve">Jednocześnie w zakładce wzory w </w:t>
      </w:r>
      <w:r>
        <w:rPr>
          <w:rFonts w:ascii="Times New Roman" w:hAnsi="Times New Roman"/>
          <w:lang w:eastAsia="pl-PL"/>
        </w:rPr>
        <w:t>załączniku n</w:t>
      </w:r>
      <w:r w:rsidR="003F0A7C">
        <w:rPr>
          <w:rFonts w:ascii="Times New Roman" w:hAnsi="Times New Roman"/>
          <w:lang w:eastAsia="pl-PL"/>
        </w:rPr>
        <w:t xml:space="preserve">r 3 do SIWZ – formularz cenowy </w:t>
      </w:r>
      <w:r>
        <w:rPr>
          <w:rFonts w:ascii="Times New Roman" w:hAnsi="Times New Roman"/>
          <w:lang w:eastAsia="pl-PL"/>
        </w:rPr>
        <w:t xml:space="preserve">w kolumnie dodatkowe informacje przy każdej pozycji został wymieniony kolor. </w:t>
      </w:r>
      <w:r w:rsidRPr="003F0A7C">
        <w:rPr>
          <w:rFonts w:ascii="Times New Roman" w:hAnsi="Times New Roman"/>
          <w:lang w:eastAsia="pl-PL"/>
        </w:rPr>
        <w:t xml:space="preserve">Na podstawie wymienionych w SIWZ kolorów </w:t>
      </w:r>
      <w:r w:rsidR="003F0A7C">
        <w:rPr>
          <w:rFonts w:ascii="Times New Roman" w:hAnsi="Times New Roman"/>
          <w:lang w:eastAsia="pl-PL"/>
        </w:rPr>
        <w:t xml:space="preserve">wraz z numerami zawartymi </w:t>
      </w:r>
      <w:r>
        <w:rPr>
          <w:rFonts w:ascii="Times New Roman" w:hAnsi="Times New Roman"/>
          <w:lang w:eastAsia="pl-PL"/>
        </w:rPr>
        <w:t xml:space="preserve">w ogólnodostępnej palecie kolorów PANTONE  Wykonawca może dokonać wstępnej analizy kolorów jaką winien zaprezentować w dostarczanych modelach mebli. </w:t>
      </w:r>
      <w:r w:rsidRPr="00F9297D">
        <w:rPr>
          <w:rFonts w:ascii="Times New Roman" w:hAnsi="Times New Roman"/>
          <w:color w:val="000000"/>
        </w:rPr>
        <w:t xml:space="preserve">Zamawiający nie określa szczegółowo koloru jednym z wybranych numerów palety, lecz daje możliwość wyboru jednego z zaproponowanych odcieni np.  </w:t>
      </w:r>
      <w:hyperlink r:id="rId6" w:history="1">
        <w:r w:rsidRPr="00F9297D">
          <w:rPr>
            <w:rStyle w:val="Hipercze"/>
            <w:rFonts w:ascii="Times New Roman" w:hAnsi="Times New Roman"/>
          </w:rPr>
          <w:t>https://encycolorpedia.pl/c4db0d</w:t>
        </w:r>
      </w:hyperlink>
      <w:r w:rsidRPr="00F9297D">
        <w:rPr>
          <w:rFonts w:ascii="Times New Roman" w:hAnsi="Times New Roman"/>
          <w:color w:val="000000"/>
        </w:rPr>
        <w:t>.</w:t>
      </w:r>
      <w:r>
        <w:rPr>
          <w:rFonts w:ascii="Times New Roman" w:hAnsi="Times New Roman"/>
          <w:color w:val="000000"/>
        </w:rPr>
        <w:t xml:space="preserve">  </w:t>
      </w:r>
      <w:r w:rsidRPr="003F0A7C">
        <w:rPr>
          <w:rFonts w:ascii="Times New Roman" w:hAnsi="Times New Roman"/>
        </w:rPr>
        <w:t>Jednocześnie</w:t>
      </w:r>
      <w:r>
        <w:rPr>
          <w:rFonts w:ascii="Times New Roman" w:hAnsi="Times New Roman"/>
          <w:color w:val="000000"/>
        </w:rPr>
        <w:t xml:space="preserve"> Zamawiający dopuszcza zastosowanie kolorystyki w skali RAL.  </w:t>
      </w:r>
    </w:p>
    <w:p w:rsidR="00504E58" w:rsidRDefault="00504E58" w:rsidP="00706E35">
      <w:pPr>
        <w:jc w:val="both"/>
        <w:rPr>
          <w:rFonts w:ascii="Times New Roman" w:hAnsi="Times New Roman"/>
        </w:rPr>
      </w:pPr>
      <w:r>
        <w:rPr>
          <w:rFonts w:ascii="Times New Roman" w:hAnsi="Times New Roman"/>
        </w:rPr>
        <w:t xml:space="preserve"> </w:t>
      </w:r>
    </w:p>
    <w:p w:rsidR="00504E58" w:rsidRDefault="00504E58" w:rsidP="00706E35">
      <w:pPr>
        <w:jc w:val="both"/>
        <w:rPr>
          <w:rFonts w:ascii="Times New Roman" w:hAnsi="Times New Roman"/>
        </w:rPr>
      </w:pPr>
      <w:r>
        <w:rPr>
          <w:rFonts w:ascii="Times New Roman" w:hAnsi="Times New Roman"/>
        </w:rPr>
        <w:t xml:space="preserve">Punkt 2. </w:t>
      </w:r>
    </w:p>
    <w:p w:rsidR="00504E58" w:rsidRPr="003F0A7C" w:rsidRDefault="00504E58" w:rsidP="00B3212F">
      <w:pPr>
        <w:pStyle w:val="Akapitzlist"/>
        <w:numPr>
          <w:ilvl w:val="0"/>
          <w:numId w:val="10"/>
        </w:numPr>
        <w:spacing w:line="360" w:lineRule="auto"/>
        <w:ind w:left="714" w:hanging="357"/>
        <w:jc w:val="both"/>
        <w:rPr>
          <w:rFonts w:ascii="Times New Roman" w:hAnsi="Times New Roman"/>
        </w:rPr>
      </w:pPr>
      <w:r w:rsidRPr="003F0A7C">
        <w:rPr>
          <w:rFonts w:ascii="Times New Roman" w:hAnsi="Times New Roman"/>
        </w:rPr>
        <w:t xml:space="preserve">Zamawiający dopuszcza zastosowanie płyty o grubości minimalnej 18mm. Zastosowanie śruby z </w:t>
      </w:r>
      <w:r w:rsidRPr="00511328">
        <w:rPr>
          <w:rFonts w:ascii="Times New Roman" w:hAnsi="Times New Roman"/>
        </w:rPr>
        <w:t xml:space="preserve">łbem sześciokątnym w stopniowej regulacji wysokości może gwarantować </w:t>
      </w:r>
      <w:r w:rsidRPr="00511328">
        <w:rPr>
          <w:rFonts w:ascii="Times New Roman" w:hAnsi="Times New Roman"/>
        </w:rPr>
        <w:lastRenderedPageBreak/>
        <w:t>wielokrotną możliwość zmiany poziomu wysokości stołu</w:t>
      </w:r>
      <w:r>
        <w:rPr>
          <w:rFonts w:ascii="Times New Roman" w:hAnsi="Times New Roman"/>
        </w:rPr>
        <w:t xml:space="preserve"> ograniczając </w:t>
      </w:r>
      <w:r w:rsidRPr="00511328">
        <w:rPr>
          <w:rFonts w:ascii="Times New Roman" w:hAnsi="Times New Roman"/>
        </w:rPr>
        <w:t>ryzyk</w:t>
      </w:r>
      <w:r>
        <w:rPr>
          <w:rFonts w:ascii="Times New Roman" w:hAnsi="Times New Roman"/>
        </w:rPr>
        <w:t xml:space="preserve">o uszkodzenia śruby. </w:t>
      </w:r>
      <w:r w:rsidRPr="00511328">
        <w:rPr>
          <w:rFonts w:ascii="Times New Roman" w:hAnsi="Times New Roman"/>
        </w:rPr>
        <w:t xml:space="preserve">Sposób składania ławki oparty o stalowy element poprzeczny z przegubową konsolą </w:t>
      </w:r>
      <w:r>
        <w:rPr>
          <w:rFonts w:ascii="Times New Roman" w:hAnsi="Times New Roman"/>
        </w:rPr>
        <w:t xml:space="preserve">gwarantuje stabilność stołu uczniowskiego składanego. Zamawiający dopuszcza inną formę zastosowania systemu składania z jednoczesnym zapewnieniem łatwości w obsłudze  i stabilności stołu.  </w:t>
      </w:r>
      <w:r w:rsidRPr="003F0A7C">
        <w:rPr>
          <w:rFonts w:ascii="Times New Roman" w:hAnsi="Times New Roman"/>
        </w:rPr>
        <w:t xml:space="preserve">Jednocześnie Zamawiający wymaga, aby </w:t>
      </w:r>
      <w:r>
        <w:rPr>
          <w:rFonts w:ascii="Times New Roman" w:hAnsi="Times New Roman"/>
        </w:rPr>
        <w:t xml:space="preserve">stół posiadał dodatkowe zabezpieczenie przed niekontrolowanym składaniem się blatu </w:t>
      </w:r>
      <w:r w:rsidRPr="003F0A7C">
        <w:rPr>
          <w:rFonts w:ascii="Times New Roman" w:hAnsi="Times New Roman"/>
        </w:rPr>
        <w:t>np. w formie zaczepu do mocowania blatu w pozycji poziomej i pionowej.</w:t>
      </w:r>
    </w:p>
    <w:p w:rsidR="00504E58" w:rsidRPr="005F36A7" w:rsidRDefault="00504E58" w:rsidP="00B3212F">
      <w:pPr>
        <w:pStyle w:val="Akapitzlist"/>
        <w:numPr>
          <w:ilvl w:val="0"/>
          <w:numId w:val="10"/>
        </w:numPr>
        <w:spacing w:line="360" w:lineRule="auto"/>
        <w:ind w:left="714" w:hanging="357"/>
        <w:jc w:val="both"/>
        <w:rPr>
          <w:rFonts w:ascii="Times New Roman" w:hAnsi="Times New Roman"/>
        </w:rPr>
      </w:pPr>
      <w:r w:rsidRPr="005F36A7">
        <w:rPr>
          <w:rFonts w:ascii="Times New Roman" w:hAnsi="Times New Roman"/>
        </w:rPr>
        <w:t xml:space="preserve">Zamawiający dopuszcza zastosowanie zakresu tolerancji </w:t>
      </w:r>
      <w:r>
        <w:rPr>
          <w:rFonts w:ascii="Times New Roman" w:hAnsi="Times New Roman"/>
        </w:rPr>
        <w:t xml:space="preserve">+/-5% od podanych wymiarów dla </w:t>
      </w:r>
      <w:r w:rsidRPr="005F36A7">
        <w:rPr>
          <w:rFonts w:ascii="Times New Roman" w:hAnsi="Times New Roman"/>
        </w:rPr>
        <w:t>całego wymienionego</w:t>
      </w:r>
      <w:r>
        <w:rPr>
          <w:rFonts w:ascii="Times New Roman" w:hAnsi="Times New Roman"/>
        </w:rPr>
        <w:t xml:space="preserve"> asortymentu z zastrzeżeniem dotyczącym krzeseł szkolnych, ławek szkolnych uczniowskich </w:t>
      </w:r>
      <w:r w:rsidRPr="0060545C">
        <w:rPr>
          <w:rFonts w:ascii="Times New Roman" w:hAnsi="Times New Roman"/>
        </w:rPr>
        <w:t>(PN-EN 1729-1:2007)</w:t>
      </w:r>
      <w:r>
        <w:rPr>
          <w:rFonts w:ascii="Times New Roman" w:hAnsi="Times New Roman"/>
        </w:rPr>
        <w:t>,</w:t>
      </w:r>
      <w:r w:rsidRPr="0060545C">
        <w:rPr>
          <w:rFonts w:ascii="Times New Roman" w:hAnsi="Times New Roman"/>
        </w:rPr>
        <w:t>(PN-EN 1729-2:2012)</w:t>
      </w:r>
      <w:r>
        <w:rPr>
          <w:rFonts w:ascii="Times New Roman" w:hAnsi="Times New Roman"/>
        </w:rPr>
        <w:t xml:space="preserve">  </w:t>
      </w:r>
    </w:p>
    <w:p w:rsidR="00504E58" w:rsidRDefault="00504E58" w:rsidP="00B3212F">
      <w:pPr>
        <w:pStyle w:val="Akapitzlist"/>
        <w:numPr>
          <w:ilvl w:val="0"/>
          <w:numId w:val="10"/>
        </w:numPr>
        <w:spacing w:line="360" w:lineRule="auto"/>
        <w:ind w:left="714" w:hanging="357"/>
        <w:jc w:val="both"/>
        <w:rPr>
          <w:rFonts w:ascii="Times New Roman" w:hAnsi="Times New Roman"/>
        </w:rPr>
      </w:pPr>
      <w:r>
        <w:rPr>
          <w:rFonts w:ascii="Times New Roman" w:hAnsi="Times New Roman"/>
        </w:rPr>
        <w:t xml:space="preserve">Zamawiający będzie preferował zastosowanie stalowych płóz przy biurkach. Nie jest to domeną jednego producenta. Jednocześnie dopuszcza inne rozwiązanie. </w:t>
      </w:r>
    </w:p>
    <w:p w:rsidR="00504E58" w:rsidRDefault="00504E58" w:rsidP="00B3212F">
      <w:pPr>
        <w:pStyle w:val="Akapitzlist"/>
        <w:numPr>
          <w:ilvl w:val="0"/>
          <w:numId w:val="10"/>
        </w:numPr>
        <w:spacing w:line="360" w:lineRule="auto"/>
        <w:ind w:left="714" w:hanging="357"/>
        <w:jc w:val="both"/>
        <w:rPr>
          <w:rFonts w:ascii="Times New Roman" w:hAnsi="Times New Roman"/>
        </w:rPr>
      </w:pPr>
      <w:r>
        <w:rPr>
          <w:rFonts w:ascii="Times New Roman" w:hAnsi="Times New Roman"/>
        </w:rPr>
        <w:t xml:space="preserve">Ze względu na trwałość i estetykę zamawiający  określił tył regału bibliotecznego </w:t>
      </w:r>
      <w:r>
        <w:rPr>
          <w:rFonts w:ascii="Times New Roman" w:hAnsi="Times New Roman"/>
        </w:rPr>
        <w:br/>
        <w:t xml:space="preserve">w kształcie łuku, aby był wykonany z perforowanej blachy malowanej proszkowo żywicą epoksydową.  Tył regału będzie służył za oparcie dla siedzących. Zamawiający dopuszcza zastosowanie innego rozwiązania.  </w:t>
      </w:r>
    </w:p>
    <w:p w:rsidR="00504E58" w:rsidRDefault="00504E58" w:rsidP="00472EB0">
      <w:pPr>
        <w:pStyle w:val="Akapitzlist"/>
        <w:numPr>
          <w:ilvl w:val="0"/>
          <w:numId w:val="10"/>
        </w:numPr>
        <w:spacing w:line="360" w:lineRule="auto"/>
        <w:ind w:left="714" w:hanging="357"/>
        <w:jc w:val="both"/>
        <w:rPr>
          <w:rFonts w:ascii="Times New Roman" w:hAnsi="Times New Roman"/>
        </w:rPr>
      </w:pPr>
      <w:r>
        <w:rPr>
          <w:rFonts w:ascii="Times New Roman" w:hAnsi="Times New Roman"/>
        </w:rPr>
        <w:t>Zamawiający wyraża zgodę na zmianę zapisu dotyczącego grubości ścian bocznych regału bibliotecznego na grubość minimalną 18 mm oraz g</w:t>
      </w:r>
      <w:r w:rsidRPr="00472EB0">
        <w:rPr>
          <w:rFonts w:ascii="Times New Roman" w:hAnsi="Times New Roman"/>
        </w:rPr>
        <w:t xml:space="preserve">rubość min </w:t>
      </w:r>
      <w:r>
        <w:rPr>
          <w:rFonts w:ascii="Times New Roman" w:hAnsi="Times New Roman"/>
        </w:rPr>
        <w:t>3</w:t>
      </w:r>
      <w:r w:rsidRPr="00472EB0">
        <w:rPr>
          <w:rFonts w:ascii="Times New Roman" w:hAnsi="Times New Roman"/>
        </w:rPr>
        <w:t xml:space="preserve"> mm tylnej płyty regału</w:t>
      </w:r>
      <w:r>
        <w:rPr>
          <w:rFonts w:ascii="Times New Roman" w:hAnsi="Times New Roman"/>
        </w:rPr>
        <w:t>.</w:t>
      </w:r>
    </w:p>
    <w:p w:rsidR="00504E58" w:rsidRPr="00472EB0" w:rsidRDefault="00504E58" w:rsidP="00BA3FAA">
      <w:pPr>
        <w:pStyle w:val="Akapitzlist"/>
        <w:spacing w:line="360" w:lineRule="auto"/>
        <w:ind w:left="714"/>
        <w:jc w:val="both"/>
        <w:rPr>
          <w:rFonts w:ascii="Times New Roman" w:hAnsi="Times New Roman"/>
        </w:rPr>
      </w:pPr>
      <w:r>
        <w:rPr>
          <w:rFonts w:ascii="Times New Roman" w:hAnsi="Times New Roman"/>
        </w:rPr>
        <w:t>Zamawiający dopuszcza powszechnie stosowane grubości ścian bocznych i frontu min 18 mm we wszystkich szafach wymienionych w SIWZ.</w:t>
      </w:r>
      <w:r w:rsidRPr="00472EB0">
        <w:rPr>
          <w:rFonts w:ascii="Times New Roman" w:hAnsi="Times New Roman"/>
        </w:rPr>
        <w:t xml:space="preserve"> </w:t>
      </w:r>
      <w:r>
        <w:rPr>
          <w:rFonts w:ascii="Times New Roman" w:hAnsi="Times New Roman"/>
        </w:rPr>
        <w:t xml:space="preserve"> </w:t>
      </w:r>
    </w:p>
    <w:p w:rsidR="00504E58" w:rsidRDefault="00504E58" w:rsidP="00B3212F">
      <w:pPr>
        <w:pStyle w:val="Akapitzlist"/>
        <w:numPr>
          <w:ilvl w:val="0"/>
          <w:numId w:val="10"/>
        </w:numPr>
        <w:spacing w:line="360" w:lineRule="auto"/>
        <w:jc w:val="both"/>
        <w:rPr>
          <w:rFonts w:ascii="Times New Roman" w:hAnsi="Times New Roman"/>
        </w:rPr>
      </w:pPr>
      <w:r>
        <w:rPr>
          <w:rFonts w:ascii="Times New Roman" w:hAnsi="Times New Roman"/>
        </w:rPr>
        <w:t>Zamawiający dopuszcza zastosowanie konstrukcji  i wsporników stalowych malowanych proszkowo w fotelu obrotowym półokrągłym i okrągłym, sofach i kanapach tapicerowanych.</w:t>
      </w:r>
    </w:p>
    <w:p w:rsidR="00504E58" w:rsidRDefault="00504E58" w:rsidP="00B3212F">
      <w:pPr>
        <w:pStyle w:val="Akapitzlist"/>
        <w:numPr>
          <w:ilvl w:val="0"/>
          <w:numId w:val="10"/>
        </w:numPr>
        <w:spacing w:line="360" w:lineRule="auto"/>
        <w:jc w:val="both"/>
        <w:rPr>
          <w:rFonts w:ascii="Times New Roman" w:hAnsi="Times New Roman"/>
        </w:rPr>
      </w:pPr>
      <w:r>
        <w:rPr>
          <w:rFonts w:ascii="Times New Roman" w:hAnsi="Times New Roman"/>
        </w:rPr>
        <w:t xml:space="preserve">Zamawiający dopuszcza rozwiązania równoważne dotyczące podstawy stołu gwarantującej stabilność stołu.   </w:t>
      </w:r>
    </w:p>
    <w:p w:rsidR="00504E58" w:rsidRDefault="00504E58" w:rsidP="00B3212F">
      <w:pPr>
        <w:pStyle w:val="Akapitzlist"/>
        <w:spacing w:line="360" w:lineRule="auto"/>
        <w:jc w:val="both"/>
        <w:rPr>
          <w:rFonts w:ascii="Times New Roman" w:hAnsi="Times New Roman"/>
        </w:rPr>
      </w:pPr>
      <w:r>
        <w:rPr>
          <w:rFonts w:ascii="Times New Roman" w:hAnsi="Times New Roman"/>
        </w:rPr>
        <w:t xml:space="preserve">Stół z regulowaną nogą ułatwi regulację wysokości wymiarów odpowiadających normom </w:t>
      </w:r>
      <w:r w:rsidRPr="0060545C">
        <w:rPr>
          <w:rFonts w:ascii="Times New Roman" w:hAnsi="Times New Roman"/>
        </w:rPr>
        <w:t>(PN-EN 1729-1:2007)</w:t>
      </w:r>
      <w:r>
        <w:rPr>
          <w:rFonts w:ascii="Times New Roman" w:hAnsi="Times New Roman"/>
        </w:rPr>
        <w:t>,</w:t>
      </w:r>
      <w:r w:rsidRPr="0060545C">
        <w:rPr>
          <w:rFonts w:ascii="Times New Roman" w:hAnsi="Times New Roman"/>
        </w:rPr>
        <w:t>(PN-EN 1729-2:2012)</w:t>
      </w:r>
      <w:r>
        <w:rPr>
          <w:rFonts w:ascii="Times New Roman" w:hAnsi="Times New Roman"/>
        </w:rPr>
        <w:t xml:space="preserve"> oraz pozwoli </w:t>
      </w:r>
      <w:r w:rsidRPr="00A1191F">
        <w:rPr>
          <w:rFonts w:ascii="Times New Roman" w:hAnsi="Times New Roman"/>
        </w:rPr>
        <w:t xml:space="preserve"> </w:t>
      </w:r>
      <w:r>
        <w:rPr>
          <w:rFonts w:ascii="Times New Roman" w:hAnsi="Times New Roman"/>
        </w:rPr>
        <w:t>Zamawiającemu na zastosowanie metody dopasowania stołów do krzeseł o wymaganych parametrach.</w:t>
      </w:r>
    </w:p>
    <w:p w:rsidR="00504E58" w:rsidRDefault="00504E58" w:rsidP="00B3212F">
      <w:pPr>
        <w:pStyle w:val="Akapitzlist"/>
        <w:spacing w:line="360" w:lineRule="auto"/>
        <w:jc w:val="both"/>
        <w:rPr>
          <w:rFonts w:ascii="Times New Roman" w:hAnsi="Times New Roman"/>
        </w:rPr>
      </w:pPr>
      <w:r>
        <w:rPr>
          <w:rFonts w:ascii="Times New Roman" w:hAnsi="Times New Roman"/>
        </w:rPr>
        <w:t>Stół mający 4 lub więcej nóg znacznie ogranicza ustawienie 6 krzeseł. W przypadku zastosowania rozwiązania wyżej opisanego  Zamawiający  ograniczy ilość niezbędnych stołów do stołówki.</w:t>
      </w:r>
    </w:p>
    <w:p w:rsidR="00504E58" w:rsidRDefault="00504E58" w:rsidP="006E063A">
      <w:pPr>
        <w:pStyle w:val="Akapitzlist"/>
        <w:spacing w:line="360" w:lineRule="auto"/>
        <w:jc w:val="both"/>
        <w:rPr>
          <w:rFonts w:ascii="Times New Roman" w:hAnsi="Times New Roman"/>
        </w:rPr>
      </w:pPr>
      <w:r>
        <w:rPr>
          <w:rFonts w:ascii="Times New Roman" w:hAnsi="Times New Roman"/>
        </w:rPr>
        <w:t>Punkt 3.</w:t>
      </w:r>
    </w:p>
    <w:p w:rsidR="00504E58" w:rsidRPr="003F0A7C" w:rsidRDefault="00504E58" w:rsidP="006E063A">
      <w:pPr>
        <w:pStyle w:val="Akapitzlist"/>
        <w:spacing w:line="360" w:lineRule="auto"/>
        <w:jc w:val="both"/>
        <w:rPr>
          <w:rFonts w:ascii="Times New Roman" w:hAnsi="Times New Roman"/>
        </w:rPr>
      </w:pPr>
      <w:r w:rsidRPr="003F0A7C">
        <w:rPr>
          <w:rFonts w:ascii="Times New Roman" w:hAnsi="Times New Roman"/>
        </w:rPr>
        <w:t>Zamawiający usuwa</w:t>
      </w:r>
      <w:r w:rsidR="003F0A7C">
        <w:rPr>
          <w:rFonts w:ascii="Times New Roman" w:hAnsi="Times New Roman"/>
          <w:strike/>
        </w:rPr>
        <w:t xml:space="preserve"> </w:t>
      </w:r>
      <w:r w:rsidRPr="003F0A7C">
        <w:rPr>
          <w:rFonts w:ascii="Times New Roman" w:hAnsi="Times New Roman"/>
        </w:rPr>
        <w:t>zapisy załącznika nr 3 do SIWZ dotyczących:</w:t>
      </w:r>
    </w:p>
    <w:p w:rsidR="00504E58" w:rsidRPr="006E063A" w:rsidRDefault="00504E58" w:rsidP="006E063A">
      <w:pPr>
        <w:pStyle w:val="Akapitzlist"/>
        <w:jc w:val="both"/>
        <w:rPr>
          <w:rFonts w:ascii="Times New Roman" w:hAnsi="Times New Roman"/>
        </w:rPr>
      </w:pPr>
      <w:r w:rsidRPr="006E063A">
        <w:rPr>
          <w:rFonts w:ascii="Times New Roman" w:hAnsi="Times New Roman"/>
        </w:rPr>
        <w:lastRenderedPageBreak/>
        <w:t>spełnia wymagania poziomu 3 “</w:t>
      </w:r>
      <w:proofErr w:type="spellStart"/>
      <w:r w:rsidRPr="006E063A">
        <w:rPr>
          <w:rFonts w:ascii="Times New Roman" w:hAnsi="Times New Roman"/>
        </w:rPr>
        <w:t>levelTM</w:t>
      </w:r>
      <w:proofErr w:type="spellEnd"/>
      <w:r w:rsidRPr="006E063A">
        <w:rPr>
          <w:rFonts w:ascii="Times New Roman" w:hAnsi="Times New Roman"/>
        </w:rPr>
        <w:t xml:space="preserve"> 3 – </w:t>
      </w:r>
      <w:proofErr w:type="spellStart"/>
      <w:r w:rsidRPr="006E063A">
        <w:rPr>
          <w:rFonts w:ascii="Times New Roman" w:hAnsi="Times New Roman"/>
        </w:rPr>
        <w:t>Platin</w:t>
      </w:r>
      <w:proofErr w:type="spellEnd"/>
      <w:r w:rsidRPr="006E063A">
        <w:rPr>
          <w:rFonts w:ascii="Times New Roman" w:hAnsi="Times New Roman"/>
        </w:rPr>
        <w:t>” BIFMA e3-2012 (zrównoważony rozwój)</w:t>
      </w:r>
    </w:p>
    <w:p w:rsidR="00504E58" w:rsidRPr="006E063A" w:rsidRDefault="00504E58" w:rsidP="006E063A">
      <w:pPr>
        <w:pStyle w:val="Akapitzlist"/>
        <w:jc w:val="both"/>
        <w:rPr>
          <w:rFonts w:ascii="Times New Roman" w:hAnsi="Times New Roman"/>
        </w:rPr>
      </w:pPr>
    </w:p>
    <w:p w:rsidR="00504E58" w:rsidRPr="006E063A" w:rsidRDefault="00504E58" w:rsidP="006E063A">
      <w:pPr>
        <w:pStyle w:val="Akapitzlist"/>
        <w:jc w:val="both"/>
        <w:rPr>
          <w:rFonts w:ascii="Times New Roman" w:hAnsi="Times New Roman"/>
        </w:rPr>
      </w:pPr>
      <w:r w:rsidRPr="006E063A">
        <w:rPr>
          <w:rFonts w:ascii="Times New Roman" w:hAnsi="Times New Roman"/>
        </w:rPr>
        <w:t>ma być certyfikowany pod kątem niskiej emisji chemikaliów zgodnie z UL 2818-2013  dla materiałów budowlanych, wykończeniowych i mebli lub równoważnym</w:t>
      </w:r>
    </w:p>
    <w:p w:rsidR="00504E58" w:rsidRPr="006E063A" w:rsidRDefault="00504E58" w:rsidP="006E063A">
      <w:pPr>
        <w:pStyle w:val="Akapitzlist"/>
        <w:jc w:val="both"/>
        <w:rPr>
          <w:rFonts w:ascii="Times New Roman" w:hAnsi="Times New Roman"/>
        </w:rPr>
      </w:pPr>
    </w:p>
    <w:p w:rsidR="00504E58" w:rsidRDefault="00504E58" w:rsidP="006E063A">
      <w:pPr>
        <w:pStyle w:val="Akapitzlist"/>
        <w:jc w:val="both"/>
        <w:rPr>
          <w:rFonts w:ascii="Times New Roman" w:hAnsi="Times New Roman"/>
        </w:rPr>
      </w:pPr>
      <w:r w:rsidRPr="006E063A">
        <w:rPr>
          <w:rFonts w:ascii="Times New Roman" w:hAnsi="Times New Roman"/>
        </w:rPr>
        <w:t>posiada certyfikat bezpieczeństwa TUV</w:t>
      </w:r>
      <w:r>
        <w:rPr>
          <w:rFonts w:ascii="Times New Roman" w:hAnsi="Times New Roman"/>
        </w:rPr>
        <w:t>.</w:t>
      </w:r>
    </w:p>
    <w:p w:rsidR="00504E58" w:rsidRDefault="00504E58" w:rsidP="006E063A">
      <w:pPr>
        <w:pStyle w:val="Akapitzlist"/>
        <w:spacing w:line="360" w:lineRule="auto"/>
        <w:jc w:val="both"/>
        <w:rPr>
          <w:rFonts w:ascii="Times New Roman" w:hAnsi="Times New Roman"/>
        </w:rPr>
      </w:pPr>
    </w:p>
    <w:p w:rsidR="00504E58" w:rsidRPr="003F0A7C" w:rsidRDefault="00504E58" w:rsidP="003F0A7C">
      <w:pPr>
        <w:pStyle w:val="Akapitzlist"/>
        <w:spacing w:line="360" w:lineRule="auto"/>
        <w:jc w:val="both"/>
        <w:rPr>
          <w:rFonts w:ascii="Times New Roman" w:hAnsi="Times New Roman"/>
        </w:rPr>
      </w:pPr>
      <w:r>
        <w:rPr>
          <w:rFonts w:ascii="Times New Roman" w:hAnsi="Times New Roman"/>
        </w:rPr>
        <w:t xml:space="preserve">Jednocześnie </w:t>
      </w:r>
      <w:r w:rsidRPr="003F0A7C">
        <w:rPr>
          <w:rFonts w:ascii="Times New Roman" w:hAnsi="Times New Roman"/>
        </w:rPr>
        <w:t xml:space="preserve">Zamawiający wymaga zastosowania </w:t>
      </w:r>
      <w:r>
        <w:rPr>
          <w:rFonts w:ascii="Times New Roman" w:hAnsi="Times New Roman"/>
        </w:rPr>
        <w:t xml:space="preserve">odpowiednich Polskich norm odnośnie bezpieczeństwa i wytrzymałości materiałowej i emisji chemikaliów oraz spełniania wymogów niepalności materiałów zastosowanych do produkcji mebli. </w:t>
      </w:r>
    </w:p>
    <w:p w:rsidR="00504E58" w:rsidRDefault="00504E58" w:rsidP="006E063A">
      <w:pPr>
        <w:pStyle w:val="Akapitzlist"/>
        <w:spacing w:line="360" w:lineRule="auto"/>
        <w:jc w:val="both"/>
        <w:rPr>
          <w:rFonts w:ascii="Times New Roman" w:hAnsi="Times New Roman"/>
        </w:rPr>
      </w:pPr>
      <w:r>
        <w:rPr>
          <w:rFonts w:ascii="Times New Roman" w:hAnsi="Times New Roman"/>
        </w:rPr>
        <w:t>Zamawiający wyraża zgodę na zmianę terminu składania ofert do 07.06.2019r. do godziny 09:00.</w:t>
      </w:r>
    </w:p>
    <w:p w:rsidR="00504E58" w:rsidRPr="006E063A" w:rsidRDefault="00504E58" w:rsidP="006E063A">
      <w:pPr>
        <w:pStyle w:val="Akapitzlist"/>
        <w:spacing w:line="360" w:lineRule="auto"/>
        <w:jc w:val="both"/>
        <w:rPr>
          <w:rFonts w:ascii="Times New Roman" w:hAnsi="Times New Roman"/>
        </w:rPr>
      </w:pPr>
    </w:p>
    <w:p w:rsidR="00504E58" w:rsidRPr="006E063A" w:rsidRDefault="00504E58" w:rsidP="006E063A">
      <w:pPr>
        <w:pStyle w:val="Akapitzlist"/>
        <w:spacing w:line="360" w:lineRule="auto"/>
        <w:jc w:val="both"/>
        <w:rPr>
          <w:rFonts w:ascii="Times New Roman" w:hAnsi="Times New Roman"/>
        </w:rPr>
      </w:pPr>
      <w:bookmarkStart w:id="0" w:name="_GoBack"/>
      <w:bookmarkEnd w:id="0"/>
    </w:p>
    <w:p w:rsidR="00504E58" w:rsidRPr="00B17B8A" w:rsidRDefault="00504E58" w:rsidP="00B3212F">
      <w:pPr>
        <w:pStyle w:val="Akapitzlist"/>
        <w:spacing w:line="360" w:lineRule="auto"/>
        <w:jc w:val="both"/>
        <w:rPr>
          <w:rFonts w:ascii="Times New Roman" w:hAnsi="Times New Roman"/>
        </w:rPr>
      </w:pPr>
    </w:p>
    <w:p w:rsidR="00504E58" w:rsidRPr="00774856" w:rsidRDefault="00504E58" w:rsidP="00B3212F">
      <w:pPr>
        <w:spacing w:line="360" w:lineRule="auto"/>
        <w:jc w:val="both"/>
        <w:rPr>
          <w:rFonts w:ascii="Times New Roman" w:hAnsi="Times New Roman"/>
        </w:rPr>
      </w:pPr>
    </w:p>
    <w:sectPr w:rsidR="00504E58" w:rsidRPr="00774856" w:rsidSect="002609BA">
      <w:pgSz w:w="11906" w:h="16838"/>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05"/>
    <w:multiLevelType w:val="hybridMultilevel"/>
    <w:tmpl w:val="E54C58A4"/>
    <w:lvl w:ilvl="0" w:tplc="0415000F">
      <w:start w:val="1"/>
      <w:numFmt w:val="decimal"/>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B3E518B"/>
    <w:multiLevelType w:val="multilevel"/>
    <w:tmpl w:val="127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C2C3C"/>
    <w:multiLevelType w:val="hybridMultilevel"/>
    <w:tmpl w:val="41442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CCD6ACE"/>
    <w:multiLevelType w:val="multilevel"/>
    <w:tmpl w:val="417E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66461"/>
    <w:multiLevelType w:val="multilevel"/>
    <w:tmpl w:val="53C28E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80F48CC"/>
    <w:multiLevelType w:val="multilevel"/>
    <w:tmpl w:val="F89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21764"/>
    <w:multiLevelType w:val="multilevel"/>
    <w:tmpl w:val="F55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9A36DB"/>
    <w:multiLevelType w:val="multilevel"/>
    <w:tmpl w:val="7B06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081679"/>
    <w:multiLevelType w:val="multilevel"/>
    <w:tmpl w:val="92462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4BE02FA"/>
    <w:multiLevelType w:val="multilevel"/>
    <w:tmpl w:val="DE90C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93334AD"/>
    <w:multiLevelType w:val="multilevel"/>
    <w:tmpl w:val="3FF04B1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7"/>
  </w:num>
  <w:num w:numId="5">
    <w:abstractNumId w:val="10"/>
  </w:num>
  <w:num w:numId="6">
    <w:abstractNumId w:val="6"/>
  </w:num>
  <w:num w:numId="7">
    <w:abstractNumId w:val="3"/>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3E"/>
    <w:rsid w:val="0006293D"/>
    <w:rsid w:val="0008511B"/>
    <w:rsid w:val="001A2FB0"/>
    <w:rsid w:val="001C483E"/>
    <w:rsid w:val="001E3120"/>
    <w:rsid w:val="002609BA"/>
    <w:rsid w:val="002804BD"/>
    <w:rsid w:val="0029695A"/>
    <w:rsid w:val="002C54AB"/>
    <w:rsid w:val="00302D8D"/>
    <w:rsid w:val="003476FC"/>
    <w:rsid w:val="003F0A7C"/>
    <w:rsid w:val="00422B3E"/>
    <w:rsid w:val="0043474F"/>
    <w:rsid w:val="00442610"/>
    <w:rsid w:val="00472EB0"/>
    <w:rsid w:val="00504E58"/>
    <w:rsid w:val="00511328"/>
    <w:rsid w:val="005C35D4"/>
    <w:rsid w:val="005D0163"/>
    <w:rsid w:val="005F2B76"/>
    <w:rsid w:val="005F36A7"/>
    <w:rsid w:val="0060545C"/>
    <w:rsid w:val="00606562"/>
    <w:rsid w:val="00660A34"/>
    <w:rsid w:val="006900E3"/>
    <w:rsid w:val="006D5C11"/>
    <w:rsid w:val="006E063A"/>
    <w:rsid w:val="00706E35"/>
    <w:rsid w:val="00756EC8"/>
    <w:rsid w:val="00766250"/>
    <w:rsid w:val="00774856"/>
    <w:rsid w:val="007901EC"/>
    <w:rsid w:val="007A6B27"/>
    <w:rsid w:val="007D17EF"/>
    <w:rsid w:val="00802C93"/>
    <w:rsid w:val="00847390"/>
    <w:rsid w:val="009032FB"/>
    <w:rsid w:val="009174C2"/>
    <w:rsid w:val="0099325F"/>
    <w:rsid w:val="00A055D6"/>
    <w:rsid w:val="00A1191F"/>
    <w:rsid w:val="00A360E1"/>
    <w:rsid w:val="00AC7B02"/>
    <w:rsid w:val="00B17B8A"/>
    <w:rsid w:val="00B3212F"/>
    <w:rsid w:val="00B3720D"/>
    <w:rsid w:val="00B47BFF"/>
    <w:rsid w:val="00B75ADB"/>
    <w:rsid w:val="00BA3FAA"/>
    <w:rsid w:val="00C10187"/>
    <w:rsid w:val="00C309AE"/>
    <w:rsid w:val="00C445E9"/>
    <w:rsid w:val="00C5328A"/>
    <w:rsid w:val="00C70B24"/>
    <w:rsid w:val="00C87E90"/>
    <w:rsid w:val="00CA3F75"/>
    <w:rsid w:val="00CF3881"/>
    <w:rsid w:val="00D42C05"/>
    <w:rsid w:val="00D62B86"/>
    <w:rsid w:val="00D63096"/>
    <w:rsid w:val="00D9399F"/>
    <w:rsid w:val="00DE49AA"/>
    <w:rsid w:val="00E91078"/>
    <w:rsid w:val="00EC38E1"/>
    <w:rsid w:val="00EF34A0"/>
    <w:rsid w:val="00EF40CC"/>
    <w:rsid w:val="00F17338"/>
    <w:rsid w:val="00F8074B"/>
    <w:rsid w:val="00F92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74B"/>
    <w:pPr>
      <w:autoSpaceDE w:val="0"/>
      <w:autoSpaceDN w:val="0"/>
      <w:adjustRightInd w:val="0"/>
    </w:pPr>
    <w:rPr>
      <w:rFonts w:ascii="Calibri Light" w:hAnsi="Calibri Light"/>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62B86"/>
    <w:pPr>
      <w:autoSpaceDE/>
      <w:autoSpaceDN/>
      <w:adjustRightInd/>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62B86"/>
    <w:rPr>
      <w:rFonts w:ascii="Tahoma" w:hAnsi="Tahoma" w:cs="Tahoma"/>
      <w:sz w:val="16"/>
      <w:szCs w:val="16"/>
    </w:rPr>
  </w:style>
  <w:style w:type="character" w:styleId="Hipercze">
    <w:name w:val="Hyperlink"/>
    <w:basedOn w:val="Domylnaczcionkaakapitu"/>
    <w:uiPriority w:val="99"/>
    <w:semiHidden/>
    <w:rsid w:val="005D0163"/>
    <w:rPr>
      <w:rFonts w:cs="Times New Roman"/>
      <w:color w:val="0000FF"/>
      <w:u w:val="single"/>
    </w:rPr>
  </w:style>
  <w:style w:type="paragraph" w:styleId="NormalnyWeb">
    <w:name w:val="Normal (Web)"/>
    <w:basedOn w:val="Normalny"/>
    <w:uiPriority w:val="99"/>
    <w:semiHidden/>
    <w:rsid w:val="003476FC"/>
    <w:pPr>
      <w:autoSpaceDE/>
      <w:autoSpaceDN/>
      <w:adjustRightInd/>
      <w:spacing w:before="100" w:beforeAutospacing="1" w:after="100" w:afterAutospacing="1"/>
    </w:pPr>
    <w:rPr>
      <w:rFonts w:ascii="Times New Roman" w:eastAsia="Times New Roman" w:hAnsi="Times New Roman"/>
      <w:lang w:eastAsia="pl-PL"/>
    </w:rPr>
  </w:style>
  <w:style w:type="paragraph" w:styleId="Akapitzlist">
    <w:name w:val="List Paragraph"/>
    <w:basedOn w:val="Normalny"/>
    <w:uiPriority w:val="99"/>
    <w:qFormat/>
    <w:rsid w:val="00C5328A"/>
    <w:pPr>
      <w:ind w:left="720"/>
      <w:contextualSpacing/>
    </w:pPr>
  </w:style>
  <w:style w:type="character" w:styleId="UyteHipercze">
    <w:name w:val="FollowedHyperlink"/>
    <w:basedOn w:val="Domylnaczcionkaakapitu"/>
    <w:uiPriority w:val="99"/>
    <w:semiHidden/>
    <w:rsid w:val="00F9297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74B"/>
    <w:pPr>
      <w:autoSpaceDE w:val="0"/>
      <w:autoSpaceDN w:val="0"/>
      <w:adjustRightInd w:val="0"/>
    </w:pPr>
    <w:rPr>
      <w:rFonts w:ascii="Calibri Light" w:hAnsi="Calibri Light"/>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62B86"/>
    <w:pPr>
      <w:autoSpaceDE/>
      <w:autoSpaceDN/>
      <w:adjustRightInd/>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62B86"/>
    <w:rPr>
      <w:rFonts w:ascii="Tahoma" w:hAnsi="Tahoma" w:cs="Tahoma"/>
      <w:sz w:val="16"/>
      <w:szCs w:val="16"/>
    </w:rPr>
  </w:style>
  <w:style w:type="character" w:styleId="Hipercze">
    <w:name w:val="Hyperlink"/>
    <w:basedOn w:val="Domylnaczcionkaakapitu"/>
    <w:uiPriority w:val="99"/>
    <w:semiHidden/>
    <w:rsid w:val="005D0163"/>
    <w:rPr>
      <w:rFonts w:cs="Times New Roman"/>
      <w:color w:val="0000FF"/>
      <w:u w:val="single"/>
    </w:rPr>
  </w:style>
  <w:style w:type="paragraph" w:styleId="NormalnyWeb">
    <w:name w:val="Normal (Web)"/>
    <w:basedOn w:val="Normalny"/>
    <w:uiPriority w:val="99"/>
    <w:semiHidden/>
    <w:rsid w:val="003476FC"/>
    <w:pPr>
      <w:autoSpaceDE/>
      <w:autoSpaceDN/>
      <w:adjustRightInd/>
      <w:spacing w:before="100" w:beforeAutospacing="1" w:after="100" w:afterAutospacing="1"/>
    </w:pPr>
    <w:rPr>
      <w:rFonts w:ascii="Times New Roman" w:eastAsia="Times New Roman" w:hAnsi="Times New Roman"/>
      <w:lang w:eastAsia="pl-PL"/>
    </w:rPr>
  </w:style>
  <w:style w:type="paragraph" w:styleId="Akapitzlist">
    <w:name w:val="List Paragraph"/>
    <w:basedOn w:val="Normalny"/>
    <w:uiPriority w:val="99"/>
    <w:qFormat/>
    <w:rsid w:val="00C5328A"/>
    <w:pPr>
      <w:ind w:left="720"/>
      <w:contextualSpacing/>
    </w:pPr>
  </w:style>
  <w:style w:type="character" w:styleId="UyteHipercze">
    <w:name w:val="FollowedHyperlink"/>
    <w:basedOn w:val="Domylnaczcionkaakapitu"/>
    <w:uiPriority w:val="99"/>
    <w:semiHidden/>
    <w:rsid w:val="00F9297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5724">
      <w:marLeft w:val="0"/>
      <w:marRight w:val="0"/>
      <w:marTop w:val="0"/>
      <w:marBottom w:val="0"/>
      <w:divBdr>
        <w:top w:val="none" w:sz="0" w:space="0" w:color="auto"/>
        <w:left w:val="none" w:sz="0" w:space="0" w:color="auto"/>
        <w:bottom w:val="none" w:sz="0" w:space="0" w:color="auto"/>
        <w:right w:val="none" w:sz="0" w:space="0" w:color="auto"/>
      </w:divBdr>
      <w:divsChild>
        <w:div w:id="584725736">
          <w:marLeft w:val="0"/>
          <w:marRight w:val="0"/>
          <w:marTop w:val="0"/>
          <w:marBottom w:val="0"/>
          <w:divBdr>
            <w:top w:val="none" w:sz="0" w:space="0" w:color="auto"/>
            <w:left w:val="none" w:sz="0" w:space="0" w:color="auto"/>
            <w:bottom w:val="none" w:sz="0" w:space="0" w:color="auto"/>
            <w:right w:val="none" w:sz="0" w:space="0" w:color="auto"/>
          </w:divBdr>
        </w:div>
        <w:div w:id="584725737">
          <w:marLeft w:val="-450"/>
          <w:marRight w:val="-450"/>
          <w:marTop w:val="0"/>
          <w:marBottom w:val="0"/>
          <w:divBdr>
            <w:top w:val="none" w:sz="0" w:space="0" w:color="auto"/>
            <w:left w:val="none" w:sz="0" w:space="0" w:color="auto"/>
            <w:bottom w:val="none" w:sz="0" w:space="0" w:color="auto"/>
            <w:right w:val="none" w:sz="0" w:space="0" w:color="auto"/>
          </w:divBdr>
          <w:divsChild>
            <w:div w:id="584725725">
              <w:marLeft w:val="0"/>
              <w:marRight w:val="0"/>
              <w:marTop w:val="0"/>
              <w:marBottom w:val="0"/>
              <w:divBdr>
                <w:top w:val="none" w:sz="0" w:space="0" w:color="auto"/>
                <w:left w:val="none" w:sz="0" w:space="0" w:color="auto"/>
                <w:bottom w:val="none" w:sz="0" w:space="0" w:color="auto"/>
                <w:right w:val="none" w:sz="0" w:space="0" w:color="auto"/>
              </w:divBdr>
              <w:divsChild>
                <w:div w:id="584725727">
                  <w:marLeft w:val="0"/>
                  <w:marRight w:val="0"/>
                  <w:marTop w:val="0"/>
                  <w:marBottom w:val="0"/>
                  <w:divBdr>
                    <w:top w:val="none" w:sz="0" w:space="0" w:color="auto"/>
                    <w:left w:val="none" w:sz="0" w:space="0" w:color="auto"/>
                    <w:bottom w:val="none" w:sz="0" w:space="0" w:color="auto"/>
                    <w:right w:val="none" w:sz="0" w:space="0" w:color="auto"/>
                  </w:divBdr>
                  <w:divsChild>
                    <w:div w:id="584725728">
                      <w:marLeft w:val="-450"/>
                      <w:marRight w:val="-450"/>
                      <w:marTop w:val="0"/>
                      <w:marBottom w:val="0"/>
                      <w:divBdr>
                        <w:top w:val="none" w:sz="0" w:space="0" w:color="auto"/>
                        <w:left w:val="none" w:sz="0" w:space="0" w:color="auto"/>
                        <w:bottom w:val="none" w:sz="0" w:space="0" w:color="auto"/>
                        <w:right w:val="none" w:sz="0" w:space="0" w:color="auto"/>
                      </w:divBdr>
                      <w:divsChild>
                        <w:div w:id="584725735">
                          <w:marLeft w:val="0"/>
                          <w:marRight w:val="0"/>
                          <w:marTop w:val="0"/>
                          <w:marBottom w:val="0"/>
                          <w:divBdr>
                            <w:top w:val="none" w:sz="0" w:space="0" w:color="auto"/>
                            <w:left w:val="none" w:sz="0" w:space="0" w:color="auto"/>
                            <w:bottom w:val="none" w:sz="0" w:space="0" w:color="auto"/>
                            <w:right w:val="none" w:sz="0" w:space="0" w:color="auto"/>
                          </w:divBdr>
                          <w:divsChild>
                            <w:div w:id="584725739">
                              <w:marLeft w:val="0"/>
                              <w:marRight w:val="0"/>
                              <w:marTop w:val="0"/>
                              <w:marBottom w:val="0"/>
                              <w:divBdr>
                                <w:top w:val="none" w:sz="0" w:space="0" w:color="auto"/>
                                <w:left w:val="none" w:sz="0" w:space="0" w:color="auto"/>
                                <w:bottom w:val="none" w:sz="0" w:space="0" w:color="auto"/>
                                <w:right w:val="none" w:sz="0" w:space="0" w:color="auto"/>
                              </w:divBdr>
                              <w:divsChild>
                                <w:div w:id="584725726">
                                  <w:marLeft w:val="0"/>
                                  <w:marRight w:val="0"/>
                                  <w:marTop w:val="0"/>
                                  <w:marBottom w:val="0"/>
                                  <w:divBdr>
                                    <w:top w:val="none" w:sz="0" w:space="0" w:color="auto"/>
                                    <w:left w:val="single" w:sz="24" w:space="0" w:color="DC0032"/>
                                    <w:bottom w:val="none" w:sz="0" w:space="0" w:color="auto"/>
                                    <w:right w:val="none" w:sz="0" w:space="0" w:color="auto"/>
                                  </w:divBdr>
                                </w:div>
                                <w:div w:id="584725730">
                                  <w:marLeft w:val="720"/>
                                  <w:marRight w:val="720"/>
                                  <w:marTop w:val="100"/>
                                  <w:marBottom w:val="100"/>
                                  <w:divBdr>
                                    <w:top w:val="none" w:sz="0" w:space="0" w:color="auto"/>
                                    <w:left w:val="single" w:sz="24" w:space="0" w:color="015497"/>
                                    <w:bottom w:val="none" w:sz="0" w:space="0" w:color="auto"/>
                                    <w:right w:val="none" w:sz="0" w:space="0" w:color="auto"/>
                                  </w:divBdr>
                                </w:div>
                                <w:div w:id="584725732">
                                  <w:marLeft w:val="720"/>
                                  <w:marRight w:val="720"/>
                                  <w:marTop w:val="100"/>
                                  <w:marBottom w:val="100"/>
                                  <w:divBdr>
                                    <w:top w:val="none" w:sz="0" w:space="0" w:color="auto"/>
                                    <w:left w:val="single" w:sz="24" w:space="0" w:color="015497"/>
                                    <w:bottom w:val="none" w:sz="0" w:space="0" w:color="auto"/>
                                    <w:right w:val="none" w:sz="0" w:space="0" w:color="auto"/>
                                  </w:divBdr>
                                </w:div>
                                <w:div w:id="584725733">
                                  <w:marLeft w:val="0"/>
                                  <w:marRight w:val="0"/>
                                  <w:marTop w:val="0"/>
                                  <w:marBottom w:val="0"/>
                                  <w:divBdr>
                                    <w:top w:val="none" w:sz="0" w:space="0" w:color="auto"/>
                                    <w:left w:val="single" w:sz="24" w:space="0" w:color="DC0032"/>
                                    <w:bottom w:val="none" w:sz="0" w:space="0" w:color="auto"/>
                                    <w:right w:val="none" w:sz="0" w:space="0" w:color="auto"/>
                                  </w:divBdr>
                                </w:div>
                                <w:div w:id="584725734">
                                  <w:marLeft w:val="0"/>
                                  <w:marRight w:val="0"/>
                                  <w:marTop w:val="0"/>
                                  <w:marBottom w:val="0"/>
                                  <w:divBdr>
                                    <w:top w:val="none" w:sz="0" w:space="0" w:color="auto"/>
                                    <w:left w:val="none" w:sz="0" w:space="0" w:color="auto"/>
                                    <w:bottom w:val="none" w:sz="0" w:space="0" w:color="auto"/>
                                    <w:right w:val="none" w:sz="0" w:space="0" w:color="auto"/>
                                  </w:divBdr>
                                </w:div>
                                <w:div w:id="584725738">
                                  <w:marLeft w:val="0"/>
                                  <w:marRight w:val="0"/>
                                  <w:marTop w:val="0"/>
                                  <w:marBottom w:val="0"/>
                                  <w:divBdr>
                                    <w:top w:val="none" w:sz="0" w:space="0" w:color="auto"/>
                                    <w:left w:val="single" w:sz="24" w:space="0" w:color="DC0032"/>
                                    <w:bottom w:val="none" w:sz="0" w:space="0" w:color="auto"/>
                                    <w:right w:val="none" w:sz="0" w:space="0" w:color="auto"/>
                                  </w:divBdr>
                                </w:div>
                              </w:divsChild>
                            </w:div>
                          </w:divsChild>
                        </w:div>
                      </w:divsChild>
                    </w:div>
                  </w:divsChild>
                </w:div>
              </w:divsChild>
            </w:div>
          </w:divsChild>
        </w:div>
      </w:divsChild>
    </w:div>
    <w:div w:id="584725729">
      <w:marLeft w:val="0"/>
      <w:marRight w:val="0"/>
      <w:marTop w:val="0"/>
      <w:marBottom w:val="0"/>
      <w:divBdr>
        <w:top w:val="none" w:sz="0" w:space="0" w:color="auto"/>
        <w:left w:val="none" w:sz="0" w:space="0" w:color="auto"/>
        <w:bottom w:val="none" w:sz="0" w:space="0" w:color="auto"/>
        <w:right w:val="none" w:sz="0" w:space="0" w:color="auto"/>
      </w:divBdr>
    </w:div>
    <w:div w:id="584725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ycolorpedia.pl/c4db0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18473</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Halina</dc:creator>
  <cp:lastModifiedBy>Halina</cp:lastModifiedBy>
  <cp:revision>2</cp:revision>
  <cp:lastPrinted>2019-05-27T08:42:00Z</cp:lastPrinted>
  <dcterms:created xsi:type="dcterms:W3CDTF">2019-05-28T12:03:00Z</dcterms:created>
  <dcterms:modified xsi:type="dcterms:W3CDTF">2019-05-28T12:03:00Z</dcterms:modified>
</cp:coreProperties>
</file>